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0732250" w14:textId="77777777" w:rsidR="00086D11" w:rsidRPr="002F304E" w:rsidRDefault="00086D11" w:rsidP="00086D11">
      <w:pPr>
        <w:jc w:val="right"/>
        <w:rPr>
          <w:rStyle w:val="HTML"/>
          <w:rFonts w:ascii="Times New Roman" w:hAnsi="Times New Roman" w:cs="Times New Roman"/>
          <w:lang w:val="uk-UA"/>
        </w:rPr>
      </w:pPr>
      <w:r w:rsidRPr="002F304E">
        <w:rPr>
          <w:rStyle w:val="HTML"/>
          <w:rFonts w:ascii="Times New Roman" w:hAnsi="Times New Roman" w:cs="Times New Roman"/>
          <w:lang w:val="uk-UA"/>
        </w:rPr>
        <w:t>Додаток 1</w:t>
      </w:r>
    </w:p>
    <w:p w14:paraId="4BF81268" w14:textId="77777777" w:rsidR="00086D11" w:rsidRPr="002F304E" w:rsidRDefault="00086D11" w:rsidP="00086D11">
      <w:pPr>
        <w:pStyle w:val="1"/>
        <w:tabs>
          <w:tab w:val="left" w:pos="5325"/>
        </w:tabs>
        <w:jc w:val="right"/>
        <w:rPr>
          <w:rStyle w:val="HTML"/>
          <w:rFonts w:ascii="Times New Roman" w:hAnsi="Times New Roman" w:cs="Times New Roman"/>
          <w:b w:val="0"/>
        </w:rPr>
      </w:pPr>
      <w:r w:rsidRPr="002F304E">
        <w:rPr>
          <w:rStyle w:val="HTML"/>
          <w:rFonts w:ascii="Times New Roman" w:hAnsi="Times New Roman" w:cs="Times New Roman"/>
          <w:b w:val="0"/>
        </w:rPr>
        <w:t>до реєстраційного</w:t>
      </w:r>
      <w:r w:rsidR="00C30403" w:rsidRPr="002F304E">
        <w:rPr>
          <w:rStyle w:val="HTML"/>
          <w:rFonts w:ascii="Times New Roman" w:hAnsi="Times New Roman" w:cs="Times New Roman"/>
          <w:b w:val="0"/>
        </w:rPr>
        <w:t xml:space="preserve"> </w:t>
      </w:r>
      <w:r w:rsidRPr="002F304E">
        <w:rPr>
          <w:rStyle w:val="HTML"/>
          <w:rFonts w:ascii="Times New Roman" w:hAnsi="Times New Roman" w:cs="Times New Roman"/>
          <w:b w:val="0"/>
        </w:rPr>
        <w:t xml:space="preserve">посвідчення </w:t>
      </w:r>
    </w:p>
    <w:p w14:paraId="06E6F43B" w14:textId="77777777" w:rsidR="00086D11" w:rsidRPr="002F304E" w:rsidRDefault="00086D11" w:rsidP="00086D11">
      <w:pPr>
        <w:rPr>
          <w:lang w:val="uk-UA"/>
        </w:rPr>
      </w:pPr>
    </w:p>
    <w:p w14:paraId="653423BE" w14:textId="77777777" w:rsidR="00086D11" w:rsidRPr="002F304E" w:rsidRDefault="00086D11" w:rsidP="00B328E6">
      <w:pPr>
        <w:tabs>
          <w:tab w:val="left" w:pos="0"/>
        </w:tabs>
        <w:jc w:val="center"/>
        <w:rPr>
          <w:b/>
          <w:bCs/>
          <w:lang w:val="uk-UA"/>
        </w:rPr>
      </w:pPr>
    </w:p>
    <w:p w14:paraId="1C4C2597" w14:textId="77777777" w:rsidR="00B328E6" w:rsidRPr="002F304E" w:rsidRDefault="00B328E6" w:rsidP="00B328E6">
      <w:pPr>
        <w:tabs>
          <w:tab w:val="left" w:pos="0"/>
        </w:tabs>
        <w:jc w:val="center"/>
        <w:rPr>
          <w:b/>
          <w:bCs/>
          <w:lang w:val="uk-UA"/>
        </w:rPr>
      </w:pPr>
      <w:r w:rsidRPr="002F304E">
        <w:rPr>
          <w:b/>
          <w:bCs/>
          <w:lang w:val="uk-UA"/>
        </w:rPr>
        <w:t>Коротка характеристика препарату</w:t>
      </w:r>
    </w:p>
    <w:p w14:paraId="304AC51C" w14:textId="77777777" w:rsidR="00B328E6" w:rsidRPr="002F304E" w:rsidRDefault="00B328E6" w:rsidP="00B328E6">
      <w:pPr>
        <w:jc w:val="both"/>
        <w:rPr>
          <w:lang w:val="uk-UA"/>
        </w:rPr>
      </w:pPr>
    </w:p>
    <w:p w14:paraId="3F787FF0" w14:textId="77777777" w:rsidR="00B328E6" w:rsidRPr="002F304E" w:rsidRDefault="00B328E6" w:rsidP="00B328E6">
      <w:pPr>
        <w:ind w:firstLine="567"/>
        <w:jc w:val="both"/>
        <w:rPr>
          <w:b/>
          <w:lang w:val="uk-UA"/>
        </w:rPr>
      </w:pPr>
      <w:r w:rsidRPr="002F304E">
        <w:rPr>
          <w:b/>
          <w:lang w:val="uk-UA"/>
        </w:rPr>
        <w:t xml:space="preserve">1. Назва </w:t>
      </w:r>
    </w:p>
    <w:p w14:paraId="0CD0FFF2" w14:textId="77777777" w:rsidR="00B328E6" w:rsidRPr="002F304E" w:rsidRDefault="00B328E6" w:rsidP="00B328E6">
      <w:pPr>
        <w:ind w:firstLine="567"/>
        <w:jc w:val="both"/>
        <w:rPr>
          <w:bCs/>
          <w:lang w:val="uk-UA"/>
        </w:rPr>
      </w:pPr>
      <w:proofErr w:type="spellStart"/>
      <w:r w:rsidRPr="002F304E">
        <w:rPr>
          <w:bCs/>
          <w:lang w:val="uk-UA"/>
        </w:rPr>
        <w:t>Ветримоксин</w:t>
      </w:r>
      <w:proofErr w:type="spellEnd"/>
      <w:r w:rsidRPr="002F304E">
        <w:rPr>
          <w:bCs/>
          <w:lang w:val="uk-UA"/>
        </w:rPr>
        <w:t xml:space="preserve"> П.Д.</w:t>
      </w:r>
    </w:p>
    <w:p w14:paraId="48F78DA7" w14:textId="77777777" w:rsidR="00B328E6" w:rsidRPr="002F304E" w:rsidRDefault="00B328E6" w:rsidP="00B328E6">
      <w:pPr>
        <w:ind w:firstLine="567"/>
        <w:jc w:val="both"/>
        <w:rPr>
          <w:b/>
          <w:lang w:val="uk-UA"/>
        </w:rPr>
      </w:pPr>
      <w:r w:rsidRPr="002F304E">
        <w:rPr>
          <w:b/>
          <w:lang w:val="uk-UA"/>
        </w:rPr>
        <w:t xml:space="preserve">2. Склад </w:t>
      </w:r>
    </w:p>
    <w:p w14:paraId="5C0215FC" w14:textId="77777777" w:rsidR="00B328E6" w:rsidRPr="002F304E" w:rsidRDefault="00B328E6" w:rsidP="00B328E6">
      <w:pPr>
        <w:tabs>
          <w:tab w:val="decimal" w:leader="dot" w:pos="6804"/>
        </w:tabs>
        <w:ind w:firstLine="567"/>
        <w:rPr>
          <w:lang w:val="uk-UA"/>
        </w:rPr>
      </w:pPr>
      <w:r w:rsidRPr="002F304E">
        <w:rPr>
          <w:lang w:val="uk-UA"/>
        </w:rPr>
        <w:t>1 мл препарату містить діючу речовину:</w:t>
      </w:r>
    </w:p>
    <w:p w14:paraId="571247FA" w14:textId="025A9B07" w:rsidR="00B328E6" w:rsidRPr="002F304E" w:rsidRDefault="00B328E6" w:rsidP="00B328E6">
      <w:pPr>
        <w:ind w:firstLine="567"/>
        <w:jc w:val="both"/>
        <w:rPr>
          <w:lang w:val="uk-UA"/>
        </w:rPr>
      </w:pPr>
      <w:proofErr w:type="spellStart"/>
      <w:r w:rsidRPr="002F304E">
        <w:rPr>
          <w:lang w:val="uk-UA"/>
        </w:rPr>
        <w:t>амоксицилін</w:t>
      </w:r>
      <w:proofErr w:type="spellEnd"/>
      <w:r w:rsidRPr="002F304E">
        <w:rPr>
          <w:lang w:val="uk-UA"/>
        </w:rPr>
        <w:t xml:space="preserve"> (у формі </w:t>
      </w:r>
      <w:proofErr w:type="spellStart"/>
      <w:r w:rsidRPr="002F304E">
        <w:rPr>
          <w:lang w:val="uk-UA"/>
        </w:rPr>
        <w:t>тригідрату</w:t>
      </w:r>
      <w:proofErr w:type="spellEnd"/>
      <w:r w:rsidRPr="002F304E">
        <w:rPr>
          <w:lang w:val="uk-UA"/>
        </w:rPr>
        <w:t>)</w:t>
      </w:r>
      <w:r w:rsidR="008D39D1" w:rsidRPr="002F304E">
        <w:t xml:space="preserve"> </w:t>
      </w:r>
      <w:r w:rsidR="008D39D1" w:rsidRPr="002F304E">
        <w:rPr>
          <w:lang w:val="uk-UA"/>
        </w:rPr>
        <w:t>–</w:t>
      </w:r>
      <w:r w:rsidRPr="002F304E">
        <w:rPr>
          <w:lang w:val="uk-UA"/>
        </w:rPr>
        <w:t xml:space="preserve"> 150 мг.</w:t>
      </w:r>
    </w:p>
    <w:p w14:paraId="73601D15" w14:textId="77777777" w:rsidR="00B328E6" w:rsidRPr="002F304E" w:rsidRDefault="00B328E6" w:rsidP="00B328E6">
      <w:pPr>
        <w:ind w:firstLine="567"/>
        <w:jc w:val="both"/>
        <w:rPr>
          <w:lang w:val="uk-UA"/>
        </w:rPr>
      </w:pPr>
      <w:r w:rsidRPr="002F304E">
        <w:rPr>
          <w:lang w:val="uk-UA"/>
        </w:rPr>
        <w:t xml:space="preserve">Допоміжні речовини: метил </w:t>
      </w:r>
      <w:proofErr w:type="spellStart"/>
      <w:r w:rsidRPr="002F304E">
        <w:rPr>
          <w:lang w:val="uk-UA"/>
        </w:rPr>
        <w:t>парагідрооксибензоат</w:t>
      </w:r>
      <w:proofErr w:type="spellEnd"/>
      <w:r w:rsidRPr="002F304E">
        <w:rPr>
          <w:lang w:val="uk-UA"/>
        </w:rPr>
        <w:t xml:space="preserve">, пропіл </w:t>
      </w:r>
      <w:proofErr w:type="spellStart"/>
      <w:r w:rsidRPr="002F304E">
        <w:rPr>
          <w:lang w:val="uk-UA"/>
        </w:rPr>
        <w:t>парагідрооксибензоат</w:t>
      </w:r>
      <w:proofErr w:type="spellEnd"/>
      <w:r w:rsidRPr="002F304E">
        <w:rPr>
          <w:lang w:val="uk-UA"/>
        </w:rPr>
        <w:t xml:space="preserve">, безводний колоїдний </w:t>
      </w:r>
      <w:proofErr w:type="spellStart"/>
      <w:r w:rsidRPr="002F304E">
        <w:rPr>
          <w:lang w:val="uk-UA"/>
        </w:rPr>
        <w:t>діоксид</w:t>
      </w:r>
      <w:proofErr w:type="spellEnd"/>
      <w:r w:rsidRPr="002F304E">
        <w:rPr>
          <w:lang w:val="uk-UA"/>
        </w:rPr>
        <w:t xml:space="preserve"> кремнію, </w:t>
      </w:r>
      <w:proofErr w:type="spellStart"/>
      <w:r w:rsidRPr="002F304E">
        <w:rPr>
          <w:lang w:val="uk-UA"/>
        </w:rPr>
        <w:t>сорбітану</w:t>
      </w:r>
      <w:proofErr w:type="spellEnd"/>
      <w:r w:rsidRPr="002F304E">
        <w:rPr>
          <w:lang w:val="uk-UA"/>
        </w:rPr>
        <w:t xml:space="preserve"> </w:t>
      </w:r>
      <w:r w:rsidR="000060F7" w:rsidRPr="002F304E">
        <w:rPr>
          <w:lang w:val="uk-UA"/>
        </w:rPr>
        <w:t>моно-</w:t>
      </w:r>
      <w:r w:rsidRPr="002F304E">
        <w:rPr>
          <w:lang w:val="uk-UA"/>
        </w:rPr>
        <w:t xml:space="preserve">олеат, </w:t>
      </w:r>
      <w:proofErr w:type="spellStart"/>
      <w:r w:rsidRPr="002F304E">
        <w:rPr>
          <w:lang w:val="uk-UA"/>
        </w:rPr>
        <w:t>пропіленгліколь</w:t>
      </w:r>
      <w:proofErr w:type="spellEnd"/>
      <w:r w:rsidRPr="002F304E">
        <w:rPr>
          <w:lang w:val="uk-UA"/>
        </w:rPr>
        <w:t xml:space="preserve"> </w:t>
      </w:r>
      <w:proofErr w:type="spellStart"/>
      <w:r w:rsidRPr="002F304E">
        <w:rPr>
          <w:lang w:val="uk-UA"/>
        </w:rPr>
        <w:t>дікаприлокапрат</w:t>
      </w:r>
      <w:proofErr w:type="spellEnd"/>
      <w:r w:rsidRPr="002F304E">
        <w:rPr>
          <w:lang w:val="uk-UA"/>
        </w:rPr>
        <w:t>.</w:t>
      </w:r>
    </w:p>
    <w:p w14:paraId="4948919C" w14:textId="77777777" w:rsidR="00B328E6" w:rsidRPr="002F304E" w:rsidRDefault="00B328E6" w:rsidP="00B328E6">
      <w:pPr>
        <w:ind w:firstLine="567"/>
        <w:jc w:val="both"/>
        <w:rPr>
          <w:b/>
          <w:lang w:val="uk-UA"/>
        </w:rPr>
      </w:pPr>
      <w:r w:rsidRPr="002F304E">
        <w:rPr>
          <w:b/>
          <w:lang w:val="uk-UA"/>
        </w:rPr>
        <w:t>3. Фармацевтична форма</w:t>
      </w:r>
    </w:p>
    <w:p w14:paraId="0006E591" w14:textId="77777777" w:rsidR="00B328E6" w:rsidRPr="002F304E" w:rsidRDefault="00B328E6" w:rsidP="00B328E6">
      <w:pPr>
        <w:ind w:firstLine="567"/>
        <w:jc w:val="both"/>
        <w:rPr>
          <w:lang w:val="uk-UA"/>
        </w:rPr>
      </w:pPr>
      <w:r w:rsidRPr="002F304E">
        <w:rPr>
          <w:lang w:val="uk-UA"/>
        </w:rPr>
        <w:t>Суспензія для ін’єкцій.</w:t>
      </w:r>
    </w:p>
    <w:p w14:paraId="23A1A1A0" w14:textId="77777777" w:rsidR="00B328E6" w:rsidRPr="002F304E" w:rsidRDefault="00B328E6" w:rsidP="00B328E6">
      <w:pPr>
        <w:widowControl w:val="0"/>
        <w:ind w:firstLine="567"/>
        <w:jc w:val="both"/>
        <w:rPr>
          <w:b/>
          <w:lang w:val="uk-UA"/>
        </w:rPr>
      </w:pPr>
      <w:r w:rsidRPr="002F304E">
        <w:rPr>
          <w:b/>
          <w:lang w:val="uk-UA"/>
        </w:rPr>
        <w:t>4. Фармакологічні властивості</w:t>
      </w:r>
    </w:p>
    <w:p w14:paraId="0AC24894" w14:textId="5C97BF0F" w:rsidR="00B328E6" w:rsidRPr="002F304E" w:rsidRDefault="00B328E6" w:rsidP="00B328E6">
      <w:pPr>
        <w:ind w:firstLine="567"/>
        <w:jc w:val="both"/>
        <w:rPr>
          <w:b/>
          <w:i/>
          <w:lang w:val="uk-UA"/>
        </w:rPr>
      </w:pPr>
      <w:r w:rsidRPr="002F304E">
        <w:rPr>
          <w:b/>
          <w:i/>
          <w:lang w:val="uk-UA"/>
        </w:rPr>
        <w:t xml:space="preserve">ATC </w:t>
      </w:r>
      <w:proofErr w:type="spellStart"/>
      <w:r w:rsidRPr="002F304E">
        <w:rPr>
          <w:b/>
          <w:i/>
          <w:lang w:val="uk-UA"/>
        </w:rPr>
        <w:t>vet</w:t>
      </w:r>
      <w:proofErr w:type="spellEnd"/>
      <w:r w:rsidRPr="002F304E">
        <w:rPr>
          <w:b/>
          <w:i/>
          <w:lang w:val="uk-UA"/>
        </w:rPr>
        <w:t xml:space="preserve"> класифікаційний код  QJ01</w:t>
      </w:r>
      <w:r w:rsidR="008D39D1" w:rsidRPr="002F304E">
        <w:rPr>
          <w:b/>
          <w:i/>
        </w:rPr>
        <w:t xml:space="preserve"> </w:t>
      </w:r>
      <w:r w:rsidR="008D39D1" w:rsidRPr="002F304E">
        <w:rPr>
          <w:b/>
          <w:i/>
          <w:lang w:val="uk-UA"/>
        </w:rPr>
        <w:t>–</w:t>
      </w:r>
      <w:r w:rsidRPr="002F304E">
        <w:rPr>
          <w:b/>
          <w:i/>
          <w:lang w:val="uk-UA"/>
        </w:rPr>
        <w:t xml:space="preserve"> антибактеріальні ветеринарні препарати для системного застосування.</w:t>
      </w:r>
      <w:r w:rsidR="00CF7EF6" w:rsidRPr="002F304E">
        <w:rPr>
          <w:b/>
          <w:i/>
        </w:rPr>
        <w:t xml:space="preserve"> </w:t>
      </w:r>
      <w:r w:rsidRPr="002F304E">
        <w:rPr>
          <w:rFonts w:eastAsia="Calibri"/>
          <w:b/>
          <w:i/>
          <w:lang w:val="uk-UA"/>
        </w:rPr>
        <w:t>QJ01CA04</w:t>
      </w:r>
      <w:r w:rsidR="008D39D1" w:rsidRPr="002F304E">
        <w:rPr>
          <w:b/>
          <w:i/>
        </w:rPr>
        <w:t xml:space="preserve"> </w:t>
      </w:r>
      <w:r w:rsidR="008D39D1" w:rsidRPr="002F304E">
        <w:rPr>
          <w:b/>
          <w:i/>
          <w:lang w:val="uk-UA"/>
        </w:rPr>
        <w:t>–</w:t>
      </w:r>
      <w:r w:rsidRPr="002F304E">
        <w:rPr>
          <w:b/>
          <w:i/>
          <w:lang w:val="uk-UA"/>
        </w:rPr>
        <w:t xml:space="preserve"> </w:t>
      </w:r>
      <w:proofErr w:type="spellStart"/>
      <w:r w:rsidRPr="002F304E">
        <w:rPr>
          <w:b/>
          <w:i/>
          <w:lang w:val="uk-UA"/>
        </w:rPr>
        <w:t>Амоксицилін</w:t>
      </w:r>
      <w:proofErr w:type="spellEnd"/>
      <w:r w:rsidRPr="002F304E">
        <w:rPr>
          <w:b/>
          <w:i/>
          <w:lang w:val="uk-UA"/>
        </w:rPr>
        <w:t>.</w:t>
      </w:r>
    </w:p>
    <w:p w14:paraId="5A670186" w14:textId="0B7C699B" w:rsidR="00B328E6" w:rsidRPr="002F304E" w:rsidRDefault="00B328E6" w:rsidP="00B328E6">
      <w:pPr>
        <w:ind w:firstLine="567"/>
        <w:jc w:val="both"/>
        <w:rPr>
          <w:i/>
          <w:lang w:val="uk-UA"/>
        </w:rPr>
      </w:pPr>
      <w:proofErr w:type="spellStart"/>
      <w:r w:rsidRPr="002F304E">
        <w:rPr>
          <w:lang w:val="uk-UA"/>
        </w:rPr>
        <w:t>Ветримоксин</w:t>
      </w:r>
      <w:proofErr w:type="spellEnd"/>
      <w:r w:rsidRPr="002F304E">
        <w:rPr>
          <w:lang w:val="uk-UA"/>
        </w:rPr>
        <w:t xml:space="preserve"> П.Д. є антибактеріальним препаратом з пролонгованою дією, що містить </w:t>
      </w:r>
      <w:proofErr w:type="spellStart"/>
      <w:r w:rsidRPr="002F304E">
        <w:rPr>
          <w:lang w:val="uk-UA"/>
        </w:rPr>
        <w:t>амоксицилін</w:t>
      </w:r>
      <w:proofErr w:type="spellEnd"/>
      <w:r w:rsidRPr="002F304E">
        <w:rPr>
          <w:lang w:val="uk-UA"/>
        </w:rPr>
        <w:t xml:space="preserve">. </w:t>
      </w:r>
      <w:proofErr w:type="spellStart"/>
      <w:r w:rsidRPr="002F304E">
        <w:rPr>
          <w:lang w:val="uk-UA"/>
        </w:rPr>
        <w:t>Амоксицилін</w:t>
      </w:r>
      <w:proofErr w:type="spellEnd"/>
      <w:r w:rsidRPr="002F304E">
        <w:rPr>
          <w:lang w:val="uk-UA"/>
        </w:rPr>
        <w:t xml:space="preserve"> відноситься до групи бета-лактамів, а саме до групи </w:t>
      </w:r>
      <w:proofErr w:type="spellStart"/>
      <w:r w:rsidRPr="002F304E">
        <w:rPr>
          <w:lang w:val="uk-UA"/>
        </w:rPr>
        <w:t>амінопеніцилінів</w:t>
      </w:r>
      <w:proofErr w:type="spellEnd"/>
      <w:r w:rsidRPr="002F304E">
        <w:rPr>
          <w:lang w:val="uk-UA"/>
        </w:rPr>
        <w:t xml:space="preserve">. Як усі бета-лактами, </w:t>
      </w:r>
      <w:proofErr w:type="spellStart"/>
      <w:r w:rsidRPr="002F304E">
        <w:rPr>
          <w:lang w:val="uk-UA"/>
        </w:rPr>
        <w:t>амоксицилін</w:t>
      </w:r>
      <w:proofErr w:type="spellEnd"/>
      <w:r w:rsidRPr="002F304E">
        <w:rPr>
          <w:lang w:val="uk-UA"/>
        </w:rPr>
        <w:t xml:space="preserve"> блокує синтез </w:t>
      </w:r>
      <w:r w:rsidR="00A0165B" w:rsidRPr="002F304E">
        <w:rPr>
          <w:lang w:val="uk-UA"/>
        </w:rPr>
        <w:t>клітинної стінки бактерій</w:t>
      </w:r>
      <w:r w:rsidRPr="002F304E">
        <w:rPr>
          <w:lang w:val="uk-UA"/>
        </w:rPr>
        <w:t xml:space="preserve">. Він активний </w:t>
      </w:r>
      <w:r w:rsidR="00A0165B" w:rsidRPr="002F304E">
        <w:rPr>
          <w:lang w:val="uk-UA"/>
        </w:rPr>
        <w:t>щодо</w:t>
      </w:r>
      <w:r w:rsidRPr="002F304E">
        <w:rPr>
          <w:lang w:val="uk-UA"/>
        </w:rPr>
        <w:t xml:space="preserve"> широкого спектру </w:t>
      </w:r>
      <w:proofErr w:type="spellStart"/>
      <w:r w:rsidRPr="002F304E">
        <w:rPr>
          <w:lang w:val="uk-UA"/>
        </w:rPr>
        <w:t>грампозитивних</w:t>
      </w:r>
      <w:proofErr w:type="spellEnd"/>
      <w:r w:rsidRPr="002F304E">
        <w:rPr>
          <w:lang w:val="uk-UA"/>
        </w:rPr>
        <w:t xml:space="preserve"> (</w:t>
      </w:r>
      <w:proofErr w:type="spellStart"/>
      <w:r w:rsidRPr="002F304E">
        <w:rPr>
          <w:i/>
          <w:lang w:val="uk-UA"/>
        </w:rPr>
        <w:t>Corynebacterium</w:t>
      </w:r>
      <w:proofErr w:type="spellEnd"/>
      <w:r w:rsidRPr="002F304E">
        <w:rPr>
          <w:i/>
          <w:lang w:val="uk-UA"/>
        </w:rPr>
        <w:t xml:space="preserve"> </w:t>
      </w:r>
      <w:proofErr w:type="spellStart"/>
      <w:r w:rsidRPr="002F304E">
        <w:rPr>
          <w:i/>
          <w:lang w:val="uk-UA"/>
        </w:rPr>
        <w:t>spp</w:t>
      </w:r>
      <w:proofErr w:type="spellEnd"/>
      <w:r w:rsidRPr="002F304E">
        <w:rPr>
          <w:i/>
          <w:lang w:val="uk-UA"/>
        </w:rPr>
        <w:t xml:space="preserve">., </w:t>
      </w:r>
      <w:proofErr w:type="spellStart"/>
      <w:r w:rsidRPr="002F304E">
        <w:rPr>
          <w:i/>
          <w:lang w:val="uk-UA"/>
        </w:rPr>
        <w:t>Streptococcus</w:t>
      </w:r>
      <w:proofErr w:type="spellEnd"/>
      <w:r w:rsidRPr="002F304E">
        <w:rPr>
          <w:i/>
          <w:lang w:val="uk-UA"/>
        </w:rPr>
        <w:t xml:space="preserve"> </w:t>
      </w:r>
      <w:proofErr w:type="spellStart"/>
      <w:r w:rsidRPr="002F304E">
        <w:rPr>
          <w:i/>
          <w:lang w:val="uk-UA"/>
        </w:rPr>
        <w:t>spp</w:t>
      </w:r>
      <w:proofErr w:type="spellEnd"/>
      <w:r w:rsidRPr="002F304E">
        <w:rPr>
          <w:i/>
          <w:lang w:val="uk-UA"/>
        </w:rPr>
        <w:t xml:space="preserve">., </w:t>
      </w:r>
      <w:proofErr w:type="spellStart"/>
      <w:r w:rsidRPr="002F304E">
        <w:rPr>
          <w:i/>
          <w:lang w:val="uk-UA"/>
        </w:rPr>
        <w:t>Erysipelothrix</w:t>
      </w:r>
      <w:proofErr w:type="spellEnd"/>
      <w:r w:rsidRPr="002F304E">
        <w:rPr>
          <w:i/>
          <w:lang w:val="uk-UA"/>
        </w:rPr>
        <w:t xml:space="preserve"> </w:t>
      </w:r>
      <w:proofErr w:type="spellStart"/>
      <w:r w:rsidRPr="002F304E">
        <w:rPr>
          <w:i/>
          <w:lang w:val="uk-UA"/>
        </w:rPr>
        <w:t>spp</w:t>
      </w:r>
      <w:proofErr w:type="spellEnd"/>
      <w:r w:rsidRPr="002F304E">
        <w:rPr>
          <w:i/>
          <w:lang w:val="uk-UA"/>
        </w:rPr>
        <w:t xml:space="preserve">., </w:t>
      </w:r>
      <w:proofErr w:type="spellStart"/>
      <w:r w:rsidRPr="002F304E">
        <w:rPr>
          <w:i/>
          <w:lang w:val="uk-UA"/>
        </w:rPr>
        <w:t>Clostridium</w:t>
      </w:r>
      <w:proofErr w:type="spellEnd"/>
      <w:r w:rsidRPr="002F304E">
        <w:rPr>
          <w:i/>
          <w:lang w:val="uk-UA"/>
        </w:rPr>
        <w:t xml:space="preserve"> </w:t>
      </w:r>
      <w:proofErr w:type="spellStart"/>
      <w:r w:rsidRPr="002F304E">
        <w:rPr>
          <w:i/>
          <w:lang w:val="uk-UA"/>
        </w:rPr>
        <w:t>spp</w:t>
      </w:r>
      <w:proofErr w:type="spellEnd"/>
      <w:r w:rsidRPr="002F304E">
        <w:rPr>
          <w:i/>
          <w:lang w:val="uk-UA"/>
        </w:rPr>
        <w:t>.</w:t>
      </w:r>
      <w:r w:rsidRPr="002F304E">
        <w:rPr>
          <w:lang w:val="uk-UA"/>
        </w:rPr>
        <w:t>)</w:t>
      </w:r>
      <w:r w:rsidRPr="002F304E">
        <w:rPr>
          <w:i/>
          <w:lang w:val="uk-UA"/>
        </w:rPr>
        <w:t xml:space="preserve"> </w:t>
      </w:r>
      <w:r w:rsidRPr="002F304E">
        <w:rPr>
          <w:lang w:val="uk-UA"/>
        </w:rPr>
        <w:t xml:space="preserve">та </w:t>
      </w:r>
      <w:proofErr w:type="spellStart"/>
      <w:r w:rsidRPr="002F304E">
        <w:rPr>
          <w:lang w:val="uk-UA"/>
        </w:rPr>
        <w:t>грамнегативних</w:t>
      </w:r>
      <w:proofErr w:type="spellEnd"/>
      <w:r w:rsidRPr="002F304E">
        <w:rPr>
          <w:lang w:val="uk-UA"/>
        </w:rPr>
        <w:t xml:space="preserve"> (</w:t>
      </w:r>
      <w:proofErr w:type="spellStart"/>
      <w:r w:rsidRPr="002F304E">
        <w:rPr>
          <w:i/>
          <w:lang w:val="uk-UA"/>
        </w:rPr>
        <w:t>Pasteurella</w:t>
      </w:r>
      <w:proofErr w:type="spellEnd"/>
      <w:r w:rsidRPr="002F304E">
        <w:rPr>
          <w:i/>
          <w:lang w:val="uk-UA"/>
        </w:rPr>
        <w:t xml:space="preserve"> </w:t>
      </w:r>
      <w:proofErr w:type="spellStart"/>
      <w:r w:rsidRPr="002F304E">
        <w:rPr>
          <w:i/>
          <w:lang w:val="uk-UA"/>
        </w:rPr>
        <w:t>spp</w:t>
      </w:r>
      <w:proofErr w:type="spellEnd"/>
      <w:r w:rsidRPr="002F304E">
        <w:rPr>
          <w:i/>
          <w:lang w:val="uk-UA"/>
        </w:rPr>
        <w:t xml:space="preserve">., </w:t>
      </w:r>
      <w:proofErr w:type="spellStart"/>
      <w:r w:rsidRPr="002F304E">
        <w:rPr>
          <w:i/>
          <w:lang w:val="uk-UA"/>
        </w:rPr>
        <w:t>Salmonella</w:t>
      </w:r>
      <w:proofErr w:type="spellEnd"/>
      <w:r w:rsidRPr="002F304E">
        <w:rPr>
          <w:i/>
          <w:lang w:val="uk-UA"/>
        </w:rPr>
        <w:t xml:space="preserve"> </w:t>
      </w:r>
      <w:proofErr w:type="spellStart"/>
      <w:r w:rsidRPr="002F304E">
        <w:rPr>
          <w:i/>
          <w:lang w:val="uk-UA"/>
        </w:rPr>
        <w:t>spp</w:t>
      </w:r>
      <w:proofErr w:type="spellEnd"/>
      <w:r w:rsidRPr="002F304E">
        <w:rPr>
          <w:i/>
          <w:lang w:val="uk-UA"/>
        </w:rPr>
        <w:t xml:space="preserve">., </w:t>
      </w:r>
      <w:proofErr w:type="spellStart"/>
      <w:r w:rsidRPr="002F304E">
        <w:rPr>
          <w:i/>
          <w:lang w:val="uk-UA"/>
        </w:rPr>
        <w:t>Haemophilus</w:t>
      </w:r>
      <w:proofErr w:type="spellEnd"/>
      <w:r w:rsidRPr="002F304E">
        <w:rPr>
          <w:i/>
          <w:lang w:val="uk-UA"/>
        </w:rPr>
        <w:t xml:space="preserve"> </w:t>
      </w:r>
      <w:proofErr w:type="spellStart"/>
      <w:r w:rsidRPr="002F304E">
        <w:rPr>
          <w:i/>
          <w:lang w:val="uk-UA"/>
        </w:rPr>
        <w:t>spp</w:t>
      </w:r>
      <w:proofErr w:type="spellEnd"/>
      <w:r w:rsidRPr="002F304E">
        <w:rPr>
          <w:i/>
          <w:lang w:val="uk-UA"/>
        </w:rPr>
        <w:t xml:space="preserve">., </w:t>
      </w:r>
      <w:proofErr w:type="spellStart"/>
      <w:r w:rsidRPr="002F304E">
        <w:rPr>
          <w:i/>
          <w:lang w:val="uk-UA"/>
        </w:rPr>
        <w:t>Actinobacillus</w:t>
      </w:r>
      <w:proofErr w:type="spellEnd"/>
      <w:r w:rsidRPr="002F304E">
        <w:rPr>
          <w:i/>
          <w:lang w:val="uk-UA"/>
        </w:rPr>
        <w:t xml:space="preserve"> </w:t>
      </w:r>
      <w:proofErr w:type="spellStart"/>
      <w:r w:rsidRPr="002F304E">
        <w:rPr>
          <w:i/>
          <w:lang w:val="uk-UA"/>
        </w:rPr>
        <w:t>spp</w:t>
      </w:r>
      <w:proofErr w:type="spellEnd"/>
      <w:r w:rsidRPr="002F304E">
        <w:rPr>
          <w:i/>
          <w:lang w:val="uk-UA"/>
        </w:rPr>
        <w:t xml:space="preserve">., </w:t>
      </w:r>
      <w:proofErr w:type="spellStart"/>
      <w:r w:rsidRPr="002F304E">
        <w:rPr>
          <w:i/>
          <w:lang w:val="uk-UA"/>
        </w:rPr>
        <w:t>Bordetella</w:t>
      </w:r>
      <w:proofErr w:type="spellEnd"/>
      <w:r w:rsidRPr="002F304E">
        <w:rPr>
          <w:i/>
          <w:lang w:val="uk-UA"/>
        </w:rPr>
        <w:t xml:space="preserve"> </w:t>
      </w:r>
      <w:proofErr w:type="spellStart"/>
      <w:r w:rsidRPr="002F304E">
        <w:rPr>
          <w:i/>
          <w:lang w:val="uk-UA"/>
        </w:rPr>
        <w:t>spp</w:t>
      </w:r>
      <w:proofErr w:type="spellEnd"/>
      <w:r w:rsidRPr="002F304E">
        <w:rPr>
          <w:i/>
          <w:lang w:val="uk-UA"/>
        </w:rPr>
        <w:t xml:space="preserve">., </w:t>
      </w:r>
      <w:proofErr w:type="spellStart"/>
      <w:r w:rsidRPr="002F304E">
        <w:rPr>
          <w:i/>
          <w:lang w:val="uk-UA"/>
        </w:rPr>
        <w:t>Proteus</w:t>
      </w:r>
      <w:proofErr w:type="spellEnd"/>
      <w:r w:rsidRPr="002F304E">
        <w:rPr>
          <w:i/>
          <w:lang w:val="uk-UA"/>
        </w:rPr>
        <w:t xml:space="preserve"> </w:t>
      </w:r>
      <w:proofErr w:type="spellStart"/>
      <w:r w:rsidRPr="002F304E">
        <w:rPr>
          <w:i/>
          <w:lang w:val="uk-UA"/>
        </w:rPr>
        <w:t>spp</w:t>
      </w:r>
      <w:proofErr w:type="spellEnd"/>
      <w:r w:rsidRPr="002F304E">
        <w:rPr>
          <w:i/>
          <w:lang w:val="uk-UA"/>
        </w:rPr>
        <w:t xml:space="preserve">., E. </w:t>
      </w:r>
      <w:proofErr w:type="spellStart"/>
      <w:r w:rsidRPr="002F304E">
        <w:rPr>
          <w:i/>
          <w:lang w:val="uk-UA"/>
        </w:rPr>
        <w:t>coli</w:t>
      </w:r>
      <w:proofErr w:type="spellEnd"/>
      <w:r w:rsidRPr="002F304E">
        <w:rPr>
          <w:i/>
          <w:lang w:val="uk-UA"/>
        </w:rPr>
        <w:t xml:space="preserve">, </w:t>
      </w:r>
      <w:proofErr w:type="spellStart"/>
      <w:r w:rsidRPr="002F304E">
        <w:rPr>
          <w:i/>
          <w:iCs/>
          <w:szCs w:val="22"/>
          <w:lang w:val="uk-UA"/>
        </w:rPr>
        <w:t>Mannheimia</w:t>
      </w:r>
      <w:proofErr w:type="spellEnd"/>
      <w:r w:rsidRPr="002F304E">
        <w:rPr>
          <w:i/>
          <w:iCs/>
          <w:szCs w:val="22"/>
          <w:lang w:val="uk-UA"/>
        </w:rPr>
        <w:t xml:space="preserve"> </w:t>
      </w:r>
      <w:proofErr w:type="spellStart"/>
      <w:r w:rsidRPr="002F304E">
        <w:rPr>
          <w:i/>
          <w:lang w:val="uk-UA"/>
        </w:rPr>
        <w:t>spp</w:t>
      </w:r>
      <w:proofErr w:type="spellEnd"/>
      <w:r w:rsidRPr="002F304E">
        <w:rPr>
          <w:i/>
          <w:lang w:val="uk-UA"/>
        </w:rPr>
        <w:t xml:space="preserve">.) </w:t>
      </w:r>
      <w:r w:rsidRPr="002F304E">
        <w:rPr>
          <w:lang w:val="uk-UA"/>
        </w:rPr>
        <w:t>мікроорганізмів.</w:t>
      </w:r>
    </w:p>
    <w:p w14:paraId="3CB24E84" w14:textId="0C8AA878" w:rsidR="00B328E6" w:rsidRPr="002F304E" w:rsidRDefault="00B328E6" w:rsidP="00B328E6">
      <w:pPr>
        <w:ind w:firstLine="567"/>
        <w:jc w:val="both"/>
        <w:rPr>
          <w:lang w:val="uk-UA"/>
        </w:rPr>
      </w:pPr>
      <w:proofErr w:type="spellStart"/>
      <w:r w:rsidRPr="002F304E">
        <w:rPr>
          <w:lang w:val="uk-UA"/>
        </w:rPr>
        <w:t>Амоксицилін</w:t>
      </w:r>
      <w:proofErr w:type="spellEnd"/>
      <w:r w:rsidRPr="002F304E">
        <w:rPr>
          <w:lang w:val="uk-UA"/>
        </w:rPr>
        <w:t xml:space="preserve"> швидко абсорбується з місця ін'єкції та розподіляється по всіх тканинах організму, підтримуючи терапевтичну концентрацію тривалий час (48-72 години), внаслідок чого концентрація </w:t>
      </w:r>
      <w:proofErr w:type="spellStart"/>
      <w:r w:rsidRPr="002F304E">
        <w:rPr>
          <w:lang w:val="uk-UA"/>
        </w:rPr>
        <w:t>амоксициліну</w:t>
      </w:r>
      <w:proofErr w:type="spellEnd"/>
      <w:r w:rsidRPr="002F304E">
        <w:rPr>
          <w:lang w:val="uk-UA"/>
        </w:rPr>
        <w:t xml:space="preserve"> в тканинах перевищує концентрацію інших антибіотиків його групи. </w:t>
      </w:r>
      <w:r w:rsidR="00A0165B" w:rsidRPr="002F304E">
        <w:rPr>
          <w:lang w:val="uk-UA"/>
        </w:rPr>
        <w:t xml:space="preserve">Максимальна концентрація </w:t>
      </w:r>
      <w:proofErr w:type="spellStart"/>
      <w:r w:rsidR="00A0165B" w:rsidRPr="002F304E">
        <w:rPr>
          <w:lang w:val="uk-UA"/>
        </w:rPr>
        <w:t>амоксициліну</w:t>
      </w:r>
      <w:proofErr w:type="spellEnd"/>
      <w:r w:rsidR="00A0165B" w:rsidRPr="002F304E">
        <w:rPr>
          <w:lang w:val="uk-UA"/>
        </w:rPr>
        <w:t xml:space="preserve"> в плазмі крові досягається протягом 2-3 годин після введення.</w:t>
      </w:r>
      <w:r w:rsidRPr="002F304E">
        <w:rPr>
          <w:lang w:val="uk-UA"/>
        </w:rPr>
        <w:t xml:space="preserve"> </w:t>
      </w:r>
    </w:p>
    <w:p w14:paraId="520E8768" w14:textId="77777777" w:rsidR="00A0165B" w:rsidRPr="002F304E" w:rsidRDefault="00A0165B" w:rsidP="00A0165B">
      <w:pPr>
        <w:ind w:firstLine="567"/>
        <w:jc w:val="both"/>
        <w:rPr>
          <w:lang w:val="uk-UA"/>
        </w:rPr>
      </w:pPr>
      <w:r w:rsidRPr="002F304E">
        <w:rPr>
          <w:lang w:val="uk-UA"/>
        </w:rPr>
        <w:t xml:space="preserve">До структури </w:t>
      </w:r>
      <w:proofErr w:type="spellStart"/>
      <w:r w:rsidRPr="002F304E">
        <w:rPr>
          <w:lang w:val="uk-UA"/>
        </w:rPr>
        <w:t>амоксициліну</w:t>
      </w:r>
      <w:proofErr w:type="spellEnd"/>
      <w:r w:rsidRPr="002F304E">
        <w:rPr>
          <w:lang w:val="uk-UA"/>
        </w:rPr>
        <w:t xml:space="preserve"> входить цикл бета-лактаму та </w:t>
      </w:r>
      <w:proofErr w:type="spellStart"/>
      <w:r w:rsidRPr="002F304E">
        <w:rPr>
          <w:lang w:val="uk-UA"/>
        </w:rPr>
        <w:t>тиазолідиновий</w:t>
      </w:r>
      <w:proofErr w:type="spellEnd"/>
      <w:r w:rsidRPr="002F304E">
        <w:rPr>
          <w:lang w:val="uk-UA"/>
        </w:rPr>
        <w:t xml:space="preserve"> цикл, загальний для всіх пеніцилінів. Бета-лактами перешкоджають утворенню клітинної стінки бактерій, перешкоджаючи останній стадії синтезу </w:t>
      </w:r>
      <w:proofErr w:type="spellStart"/>
      <w:r w:rsidRPr="002F304E">
        <w:rPr>
          <w:lang w:val="uk-UA"/>
        </w:rPr>
        <w:t>пептидоглікану</w:t>
      </w:r>
      <w:proofErr w:type="spellEnd"/>
      <w:r w:rsidRPr="002F304E">
        <w:rPr>
          <w:lang w:val="uk-UA"/>
        </w:rPr>
        <w:t xml:space="preserve">. Він пригнічує активність </w:t>
      </w:r>
      <w:proofErr w:type="spellStart"/>
      <w:r w:rsidRPr="002F304E">
        <w:rPr>
          <w:lang w:val="uk-UA"/>
        </w:rPr>
        <w:t>транспептидаз</w:t>
      </w:r>
      <w:proofErr w:type="spellEnd"/>
      <w:r w:rsidRPr="002F304E">
        <w:rPr>
          <w:lang w:val="uk-UA"/>
        </w:rPr>
        <w:t xml:space="preserve">, які </w:t>
      </w:r>
      <w:proofErr w:type="spellStart"/>
      <w:r w:rsidRPr="002F304E">
        <w:rPr>
          <w:lang w:val="uk-UA"/>
        </w:rPr>
        <w:t>каталізують</w:t>
      </w:r>
      <w:proofErr w:type="spellEnd"/>
      <w:r w:rsidRPr="002F304E">
        <w:rPr>
          <w:lang w:val="uk-UA"/>
        </w:rPr>
        <w:t xml:space="preserve"> полімеризацію </w:t>
      </w:r>
      <w:proofErr w:type="spellStart"/>
      <w:r w:rsidRPr="002F304E">
        <w:rPr>
          <w:lang w:val="uk-UA"/>
        </w:rPr>
        <w:t>глікопептидних</w:t>
      </w:r>
      <w:proofErr w:type="spellEnd"/>
      <w:r w:rsidRPr="002F304E">
        <w:rPr>
          <w:lang w:val="uk-UA"/>
        </w:rPr>
        <w:t xml:space="preserve"> одиниць, що утворюють клітинну стінку бактерій. </w:t>
      </w:r>
      <w:proofErr w:type="spellStart"/>
      <w:r w:rsidRPr="002F304E">
        <w:rPr>
          <w:lang w:val="uk-UA"/>
        </w:rPr>
        <w:t>Амоксицилін</w:t>
      </w:r>
      <w:proofErr w:type="spellEnd"/>
      <w:r w:rsidRPr="002F304E">
        <w:rPr>
          <w:lang w:val="uk-UA"/>
        </w:rPr>
        <w:t xml:space="preserve"> діє бактерицидно</w:t>
      </w:r>
      <w:r w:rsidRPr="002F304E">
        <w:rPr>
          <w:color w:val="FF0000"/>
          <w:lang w:val="uk-UA"/>
        </w:rPr>
        <w:t xml:space="preserve"> </w:t>
      </w:r>
      <w:r w:rsidRPr="002F304E">
        <w:rPr>
          <w:lang w:val="uk-UA"/>
        </w:rPr>
        <w:t>виключно на мікроорганізми в стадії росту.</w:t>
      </w:r>
    </w:p>
    <w:p w14:paraId="4BCE94ED" w14:textId="126D74DB" w:rsidR="00B328E6" w:rsidRPr="002F304E" w:rsidRDefault="00A0165B" w:rsidP="00A0165B">
      <w:pPr>
        <w:ind w:firstLine="567"/>
        <w:jc w:val="both"/>
        <w:rPr>
          <w:lang w:val="uk-UA"/>
        </w:rPr>
      </w:pPr>
      <w:proofErr w:type="spellStart"/>
      <w:r w:rsidRPr="002F304E">
        <w:rPr>
          <w:lang w:val="uk-UA"/>
        </w:rPr>
        <w:t>Амоксицилін</w:t>
      </w:r>
      <w:proofErr w:type="spellEnd"/>
      <w:r w:rsidRPr="002F304E">
        <w:rPr>
          <w:lang w:val="uk-UA"/>
        </w:rPr>
        <w:t xml:space="preserve"> може руйнуватися </w:t>
      </w:r>
      <w:proofErr w:type="spellStart"/>
      <w:r w:rsidRPr="002F304E">
        <w:rPr>
          <w:lang w:val="uk-UA"/>
        </w:rPr>
        <w:t>бета-лактамазами</w:t>
      </w:r>
      <w:proofErr w:type="spellEnd"/>
      <w:r w:rsidRPr="002F304E">
        <w:rPr>
          <w:lang w:val="uk-UA"/>
        </w:rPr>
        <w:t>, що виробляються деякими штамами мікроорганізмів.</w:t>
      </w:r>
    </w:p>
    <w:p w14:paraId="4F34254F" w14:textId="35B493FD" w:rsidR="00B328E6" w:rsidRPr="002F304E" w:rsidRDefault="00B328E6" w:rsidP="00B328E6">
      <w:pPr>
        <w:ind w:firstLine="567"/>
        <w:jc w:val="both"/>
        <w:rPr>
          <w:lang w:val="uk-UA"/>
        </w:rPr>
      </w:pPr>
      <w:r w:rsidRPr="002F304E">
        <w:rPr>
          <w:lang w:val="uk-UA"/>
        </w:rPr>
        <w:t xml:space="preserve">Після </w:t>
      </w:r>
      <w:proofErr w:type="spellStart"/>
      <w:r w:rsidRPr="002F304E">
        <w:rPr>
          <w:lang w:val="uk-UA"/>
        </w:rPr>
        <w:t>внутрішньом’язового</w:t>
      </w:r>
      <w:proofErr w:type="spellEnd"/>
      <w:r w:rsidRPr="002F304E">
        <w:rPr>
          <w:lang w:val="uk-UA"/>
        </w:rPr>
        <w:t xml:space="preserve"> введення в дозі 15 мг/кг </w:t>
      </w:r>
      <w:proofErr w:type="spellStart"/>
      <w:r w:rsidRPr="002F304E">
        <w:rPr>
          <w:lang w:val="uk-UA"/>
        </w:rPr>
        <w:t>амоксицилін</w:t>
      </w:r>
      <w:proofErr w:type="spellEnd"/>
      <w:r w:rsidRPr="002F304E">
        <w:rPr>
          <w:lang w:val="uk-UA"/>
        </w:rPr>
        <w:t xml:space="preserve"> добре абсорбується при системній </w:t>
      </w:r>
      <w:proofErr w:type="spellStart"/>
      <w:r w:rsidRPr="002F304E">
        <w:rPr>
          <w:lang w:val="uk-UA"/>
        </w:rPr>
        <w:t>біодоступності</w:t>
      </w:r>
      <w:proofErr w:type="spellEnd"/>
      <w:r w:rsidRPr="002F304E">
        <w:rPr>
          <w:lang w:val="uk-UA"/>
        </w:rPr>
        <w:t xml:space="preserve"> в діапазоні 60 - 100%. </w:t>
      </w:r>
      <w:r w:rsidR="00A67137" w:rsidRPr="002F304E">
        <w:rPr>
          <w:lang w:val="uk-UA"/>
        </w:rPr>
        <w:t>Максимальна концентрація його в плазмі крові становить</w:t>
      </w:r>
      <w:r w:rsidRPr="002F304E">
        <w:rPr>
          <w:lang w:val="uk-UA"/>
        </w:rPr>
        <w:t xml:space="preserve"> 1,5 - 4,5 </w:t>
      </w:r>
      <w:proofErr w:type="spellStart"/>
      <w:r w:rsidRPr="002F304E">
        <w:rPr>
          <w:lang w:val="uk-UA"/>
        </w:rPr>
        <w:t>мкг</w:t>
      </w:r>
      <w:proofErr w:type="spellEnd"/>
      <w:r w:rsidRPr="002F304E">
        <w:rPr>
          <w:lang w:val="uk-UA"/>
        </w:rPr>
        <w:t>/</w:t>
      </w:r>
      <w:proofErr w:type="spellStart"/>
      <w:r w:rsidRPr="002F304E">
        <w:rPr>
          <w:lang w:val="uk-UA"/>
        </w:rPr>
        <w:t>мл</w:t>
      </w:r>
      <w:proofErr w:type="spellEnd"/>
      <w:r w:rsidRPr="002F304E">
        <w:rPr>
          <w:lang w:val="uk-UA"/>
        </w:rPr>
        <w:t>, залежно від виду, спостерігається через 1,5-3 години після введення.</w:t>
      </w:r>
    </w:p>
    <w:p w14:paraId="1E88200B" w14:textId="450A9C18" w:rsidR="00B328E6" w:rsidRPr="002F304E" w:rsidRDefault="00B328E6" w:rsidP="00B328E6">
      <w:pPr>
        <w:ind w:firstLine="567"/>
        <w:jc w:val="both"/>
        <w:rPr>
          <w:lang w:val="uk-UA"/>
        </w:rPr>
      </w:pPr>
      <w:r w:rsidRPr="002F304E">
        <w:rPr>
          <w:lang w:val="uk-UA"/>
        </w:rPr>
        <w:t xml:space="preserve">Після повторного введення (2 ін’єкції з 48-годинними інтервалами) </w:t>
      </w:r>
      <w:proofErr w:type="spellStart"/>
      <w:r w:rsidRPr="002F304E">
        <w:rPr>
          <w:lang w:val="uk-UA"/>
        </w:rPr>
        <w:t>фармакокінетичні</w:t>
      </w:r>
      <w:proofErr w:type="spellEnd"/>
      <w:r w:rsidRPr="002F304E">
        <w:rPr>
          <w:lang w:val="uk-UA"/>
        </w:rPr>
        <w:t xml:space="preserve"> параметри залишаються стабільними, явища накопичення не спостерігаються. Концентрації</w:t>
      </w:r>
      <w:r w:rsidR="00A0165B" w:rsidRPr="002F304E">
        <w:rPr>
          <w:color w:val="FF0000"/>
          <w:lang w:val="uk-UA"/>
        </w:rPr>
        <w:t xml:space="preserve"> </w:t>
      </w:r>
      <w:proofErr w:type="spellStart"/>
      <w:r w:rsidR="00A0165B" w:rsidRPr="002F304E">
        <w:rPr>
          <w:lang w:val="uk-UA"/>
        </w:rPr>
        <w:t>амоксициліну</w:t>
      </w:r>
      <w:proofErr w:type="spellEnd"/>
      <w:r w:rsidRPr="002F304E">
        <w:rPr>
          <w:lang w:val="uk-UA"/>
        </w:rPr>
        <w:t xml:space="preserve"> в плазмі </w:t>
      </w:r>
      <w:r w:rsidR="00A67137" w:rsidRPr="002F304E">
        <w:rPr>
          <w:lang w:val="uk-UA"/>
        </w:rPr>
        <w:t xml:space="preserve">крові </w:t>
      </w:r>
      <w:r w:rsidRPr="002F304E">
        <w:rPr>
          <w:lang w:val="uk-UA"/>
        </w:rPr>
        <w:t xml:space="preserve">підтримуються протягом більш, ніж 32 годин після першої ін'єкції та до 36 годин – після другої ін'єкції. Швидкому поширенню </w:t>
      </w:r>
      <w:proofErr w:type="spellStart"/>
      <w:r w:rsidRPr="002F304E">
        <w:rPr>
          <w:lang w:val="uk-UA"/>
        </w:rPr>
        <w:t>амоксициліну</w:t>
      </w:r>
      <w:proofErr w:type="spellEnd"/>
      <w:r w:rsidRPr="002F304E">
        <w:rPr>
          <w:lang w:val="uk-UA"/>
        </w:rPr>
        <w:t xml:space="preserve"> в тканинах сприяє його низький ступінь зв'язування з білками плазми крові. Значна кількість </w:t>
      </w:r>
      <w:proofErr w:type="spellStart"/>
      <w:r w:rsidRPr="002F304E">
        <w:rPr>
          <w:lang w:val="uk-UA"/>
        </w:rPr>
        <w:t>амоксициліну</w:t>
      </w:r>
      <w:proofErr w:type="spellEnd"/>
      <w:r w:rsidRPr="002F304E">
        <w:rPr>
          <w:lang w:val="uk-UA"/>
        </w:rPr>
        <w:t xml:space="preserve"> виводиться з організму в незміненому вигляді з сечею. </w:t>
      </w:r>
      <w:proofErr w:type="spellStart"/>
      <w:r w:rsidRPr="002F304E">
        <w:rPr>
          <w:lang w:val="uk-UA"/>
        </w:rPr>
        <w:t>Амоксицилін</w:t>
      </w:r>
      <w:proofErr w:type="spellEnd"/>
      <w:r w:rsidRPr="002F304E">
        <w:rPr>
          <w:lang w:val="uk-UA"/>
        </w:rPr>
        <w:t xml:space="preserve"> </w:t>
      </w:r>
      <w:proofErr w:type="spellStart"/>
      <w:r w:rsidRPr="002F304E">
        <w:rPr>
          <w:lang w:val="uk-UA"/>
        </w:rPr>
        <w:t>метаболізується</w:t>
      </w:r>
      <w:proofErr w:type="spellEnd"/>
      <w:r w:rsidRPr="002F304E">
        <w:rPr>
          <w:lang w:val="uk-UA"/>
        </w:rPr>
        <w:t xml:space="preserve"> в печінці до метаболітів </w:t>
      </w:r>
      <w:proofErr w:type="spellStart"/>
      <w:r w:rsidRPr="002F304E">
        <w:rPr>
          <w:lang w:val="uk-UA"/>
        </w:rPr>
        <w:t>амоксицилінової</w:t>
      </w:r>
      <w:proofErr w:type="spellEnd"/>
      <w:r w:rsidRPr="002F304E">
        <w:rPr>
          <w:lang w:val="uk-UA"/>
        </w:rPr>
        <w:t xml:space="preserve"> кислоти і </w:t>
      </w:r>
      <w:proofErr w:type="spellStart"/>
      <w:r w:rsidRPr="002F304E">
        <w:rPr>
          <w:lang w:val="uk-UA"/>
        </w:rPr>
        <w:t>амоксицилін</w:t>
      </w:r>
      <w:proofErr w:type="spellEnd"/>
      <w:r w:rsidRPr="002F304E">
        <w:rPr>
          <w:lang w:val="uk-UA"/>
        </w:rPr>
        <w:t xml:space="preserve"> </w:t>
      </w:r>
      <w:proofErr w:type="spellStart"/>
      <w:r w:rsidRPr="002F304E">
        <w:rPr>
          <w:lang w:val="uk-UA"/>
        </w:rPr>
        <w:t>дікетопіперазину</w:t>
      </w:r>
      <w:proofErr w:type="spellEnd"/>
      <w:r w:rsidRPr="002F304E">
        <w:rPr>
          <w:lang w:val="uk-UA"/>
        </w:rPr>
        <w:t>.</w:t>
      </w:r>
    </w:p>
    <w:p w14:paraId="6741FF64" w14:textId="77777777" w:rsidR="00B328E6" w:rsidRPr="002F304E" w:rsidRDefault="00B328E6" w:rsidP="00B328E6">
      <w:pPr>
        <w:ind w:firstLine="567"/>
        <w:jc w:val="both"/>
        <w:rPr>
          <w:b/>
          <w:lang w:val="uk-UA"/>
        </w:rPr>
      </w:pPr>
      <w:r w:rsidRPr="002F304E">
        <w:rPr>
          <w:b/>
          <w:lang w:val="uk-UA"/>
        </w:rPr>
        <w:t>5. Клінічні особливості</w:t>
      </w:r>
    </w:p>
    <w:p w14:paraId="69EF7E69" w14:textId="77777777" w:rsidR="00B328E6" w:rsidRPr="002F304E" w:rsidRDefault="00B328E6" w:rsidP="00B328E6">
      <w:pPr>
        <w:widowControl w:val="0"/>
        <w:ind w:firstLine="567"/>
        <w:jc w:val="both"/>
        <w:rPr>
          <w:b/>
          <w:lang w:val="uk-UA"/>
        </w:rPr>
      </w:pPr>
      <w:r w:rsidRPr="002F304E">
        <w:rPr>
          <w:b/>
          <w:lang w:val="uk-UA"/>
        </w:rPr>
        <w:t>5.1 Вид тварин</w:t>
      </w:r>
    </w:p>
    <w:p w14:paraId="23D16F3E" w14:textId="77777777" w:rsidR="00B328E6" w:rsidRPr="002F304E" w:rsidRDefault="00B328E6" w:rsidP="00B328E6">
      <w:pPr>
        <w:ind w:firstLine="567"/>
        <w:jc w:val="both"/>
        <w:rPr>
          <w:lang w:val="uk-UA"/>
        </w:rPr>
      </w:pPr>
      <w:r w:rsidRPr="002F304E">
        <w:rPr>
          <w:lang w:val="uk-UA"/>
        </w:rPr>
        <w:t>Велика рогата худоба, свині.</w:t>
      </w:r>
    </w:p>
    <w:p w14:paraId="34A562FC" w14:textId="77777777" w:rsidR="00B328E6" w:rsidRPr="002F304E" w:rsidRDefault="00B328E6" w:rsidP="00B328E6">
      <w:pPr>
        <w:pStyle w:val="31"/>
        <w:ind w:firstLine="567"/>
        <w:rPr>
          <w:szCs w:val="24"/>
        </w:rPr>
      </w:pPr>
      <w:r w:rsidRPr="002F304E">
        <w:rPr>
          <w:szCs w:val="24"/>
        </w:rPr>
        <w:t>5.2 Показання до застосування</w:t>
      </w:r>
    </w:p>
    <w:p w14:paraId="6B0BBF42" w14:textId="55BBD69F" w:rsidR="00AB36DB" w:rsidRPr="002F304E" w:rsidRDefault="000E5500" w:rsidP="00B328E6">
      <w:pPr>
        <w:pStyle w:val="31"/>
        <w:tabs>
          <w:tab w:val="left" w:pos="709"/>
        </w:tabs>
        <w:ind w:firstLine="567"/>
        <w:rPr>
          <w:b w:val="0"/>
          <w:i/>
          <w:iCs/>
          <w:szCs w:val="24"/>
        </w:rPr>
      </w:pPr>
      <w:r w:rsidRPr="002F304E">
        <w:rPr>
          <w:b w:val="0"/>
          <w:szCs w:val="24"/>
        </w:rPr>
        <w:t xml:space="preserve">Лікування великої рогатої худоби та  свиней  за захворювань  органів дихання, травного каналу  та сечостатевої системи, що спричинені мікроорганізмами, чутливими до </w:t>
      </w:r>
      <w:proofErr w:type="spellStart"/>
      <w:r w:rsidRPr="002F304E">
        <w:rPr>
          <w:b w:val="0"/>
          <w:szCs w:val="24"/>
        </w:rPr>
        <w:t>амоксициліну</w:t>
      </w:r>
      <w:proofErr w:type="spellEnd"/>
      <w:r w:rsidRPr="002F304E">
        <w:rPr>
          <w:b w:val="0"/>
          <w:szCs w:val="24"/>
        </w:rPr>
        <w:t>.</w:t>
      </w:r>
    </w:p>
    <w:p w14:paraId="22256E27" w14:textId="77777777" w:rsidR="000E5500" w:rsidRPr="002F304E" w:rsidRDefault="000E5500" w:rsidP="00086D11">
      <w:pPr>
        <w:ind w:left="4956"/>
        <w:jc w:val="right"/>
        <w:rPr>
          <w:lang w:val="uk-UA"/>
        </w:rPr>
      </w:pPr>
    </w:p>
    <w:p w14:paraId="10FF8039" w14:textId="77777777" w:rsidR="000E5500" w:rsidRPr="002F304E" w:rsidRDefault="000E5500" w:rsidP="00086D11">
      <w:pPr>
        <w:ind w:left="4956"/>
        <w:jc w:val="right"/>
        <w:rPr>
          <w:lang w:val="uk-UA"/>
        </w:rPr>
      </w:pPr>
    </w:p>
    <w:p w14:paraId="09716BA3" w14:textId="77777777" w:rsidR="00086D11" w:rsidRPr="002F304E" w:rsidRDefault="00086D11" w:rsidP="00086D11">
      <w:pPr>
        <w:ind w:left="4956"/>
        <w:jc w:val="right"/>
        <w:rPr>
          <w:lang w:val="uk-UA"/>
        </w:rPr>
      </w:pPr>
      <w:r w:rsidRPr="002F304E">
        <w:rPr>
          <w:lang w:val="uk-UA"/>
        </w:rPr>
        <w:lastRenderedPageBreak/>
        <w:t>Продовження додатку 1</w:t>
      </w:r>
    </w:p>
    <w:p w14:paraId="5F3B0143" w14:textId="77777777" w:rsidR="00086D11" w:rsidRPr="002F304E" w:rsidRDefault="00086D11" w:rsidP="00086D11">
      <w:pPr>
        <w:widowControl w:val="0"/>
        <w:ind w:firstLine="567"/>
        <w:jc w:val="right"/>
        <w:rPr>
          <w:lang w:val="uk-UA"/>
        </w:rPr>
      </w:pPr>
      <w:r w:rsidRPr="002F304E">
        <w:rPr>
          <w:lang w:val="uk-UA"/>
        </w:rPr>
        <w:t xml:space="preserve">до реєстраційного посвідчення </w:t>
      </w:r>
    </w:p>
    <w:p w14:paraId="75AC5841" w14:textId="77777777" w:rsidR="00086D11" w:rsidRPr="002F304E" w:rsidRDefault="00086D11" w:rsidP="00B328E6">
      <w:pPr>
        <w:pStyle w:val="31"/>
        <w:tabs>
          <w:tab w:val="left" w:pos="709"/>
        </w:tabs>
        <w:ind w:firstLine="567"/>
        <w:rPr>
          <w:szCs w:val="24"/>
        </w:rPr>
      </w:pPr>
    </w:p>
    <w:p w14:paraId="6FC2AB8C" w14:textId="77777777" w:rsidR="00B328E6" w:rsidRPr="002F304E" w:rsidRDefault="00B328E6" w:rsidP="00B328E6">
      <w:pPr>
        <w:pStyle w:val="31"/>
        <w:tabs>
          <w:tab w:val="left" w:pos="709"/>
        </w:tabs>
        <w:ind w:firstLine="567"/>
        <w:rPr>
          <w:szCs w:val="24"/>
        </w:rPr>
      </w:pPr>
      <w:r w:rsidRPr="002F304E">
        <w:rPr>
          <w:szCs w:val="24"/>
        </w:rPr>
        <w:t>5.3 Протипоказання</w:t>
      </w:r>
    </w:p>
    <w:p w14:paraId="1A3C1678" w14:textId="77777777" w:rsidR="00B328E6" w:rsidRPr="002F304E" w:rsidRDefault="00B328E6" w:rsidP="00B328E6">
      <w:pPr>
        <w:ind w:firstLine="567"/>
        <w:jc w:val="both"/>
        <w:rPr>
          <w:lang w:val="uk-UA"/>
        </w:rPr>
      </w:pPr>
      <w:r w:rsidRPr="002F304E">
        <w:rPr>
          <w:lang w:val="uk-UA"/>
        </w:rPr>
        <w:t xml:space="preserve">Не застосовувати тваринам з підвищеною чутливістю до пеніцилінів, цефалоспоринів та/або інших компонентів препарату. </w:t>
      </w:r>
    </w:p>
    <w:p w14:paraId="0E36AFC5" w14:textId="77777777" w:rsidR="00B328E6" w:rsidRPr="002F304E" w:rsidRDefault="00B328E6" w:rsidP="00B328E6">
      <w:pPr>
        <w:ind w:firstLine="567"/>
        <w:jc w:val="both"/>
        <w:rPr>
          <w:lang w:val="uk-UA"/>
        </w:rPr>
      </w:pPr>
      <w:r w:rsidRPr="002F304E">
        <w:rPr>
          <w:lang w:val="uk-UA"/>
        </w:rPr>
        <w:t xml:space="preserve">Препарат не застосовувати кролям, </w:t>
      </w:r>
      <w:proofErr w:type="spellStart"/>
      <w:r w:rsidRPr="002F304E">
        <w:rPr>
          <w:lang w:val="uk-UA"/>
        </w:rPr>
        <w:t>мурчакам</w:t>
      </w:r>
      <w:proofErr w:type="spellEnd"/>
      <w:r w:rsidRPr="002F304E">
        <w:rPr>
          <w:lang w:val="uk-UA"/>
        </w:rPr>
        <w:t xml:space="preserve">, хом’якам, </w:t>
      </w:r>
      <w:proofErr w:type="spellStart"/>
      <w:r w:rsidRPr="002F304E">
        <w:rPr>
          <w:lang w:val="uk-UA"/>
        </w:rPr>
        <w:t>шиншилам</w:t>
      </w:r>
      <w:proofErr w:type="spellEnd"/>
      <w:r w:rsidRPr="002F304E">
        <w:rPr>
          <w:lang w:val="uk-UA"/>
        </w:rPr>
        <w:t xml:space="preserve"> та дрібним травоїдним тваринам.</w:t>
      </w:r>
    </w:p>
    <w:p w14:paraId="6301D88E" w14:textId="51FE9320" w:rsidR="00B328E6" w:rsidRPr="002F304E" w:rsidRDefault="00B328E6" w:rsidP="00B328E6">
      <w:pPr>
        <w:ind w:firstLine="567"/>
        <w:jc w:val="both"/>
        <w:rPr>
          <w:bCs/>
          <w:lang w:val="uk-UA"/>
        </w:rPr>
      </w:pPr>
      <w:r w:rsidRPr="002F304E">
        <w:rPr>
          <w:lang w:val="uk-UA"/>
        </w:rPr>
        <w:t>Не застосовувати тваринам із порушеною функцією нирок (анурія/</w:t>
      </w:r>
      <w:proofErr w:type="spellStart"/>
      <w:r w:rsidRPr="002F304E">
        <w:rPr>
          <w:lang w:val="uk-UA"/>
        </w:rPr>
        <w:t>олігурія</w:t>
      </w:r>
      <w:proofErr w:type="spellEnd"/>
      <w:r w:rsidRPr="002F304E">
        <w:rPr>
          <w:lang w:val="uk-UA"/>
        </w:rPr>
        <w:t>).</w:t>
      </w:r>
      <w:r w:rsidRPr="002F304E">
        <w:rPr>
          <w:b/>
          <w:lang w:val="uk-UA"/>
        </w:rPr>
        <w:t xml:space="preserve"> </w:t>
      </w:r>
    </w:p>
    <w:p w14:paraId="2942327E" w14:textId="453DE567" w:rsidR="004570BB" w:rsidRPr="002F304E" w:rsidRDefault="004570BB" w:rsidP="00B328E6">
      <w:pPr>
        <w:ind w:firstLine="567"/>
        <w:jc w:val="both"/>
        <w:rPr>
          <w:bCs/>
          <w:lang w:val="uk-UA"/>
        </w:rPr>
      </w:pPr>
      <w:r w:rsidRPr="002F304E">
        <w:rPr>
          <w:bCs/>
          <w:lang w:val="uk-UA"/>
        </w:rPr>
        <w:t xml:space="preserve">Не застосовувати </w:t>
      </w:r>
      <w:r w:rsidR="000E5500" w:rsidRPr="002F304E">
        <w:rPr>
          <w:bCs/>
          <w:lang w:val="uk-UA"/>
        </w:rPr>
        <w:t>за</w:t>
      </w:r>
      <w:r w:rsidRPr="002F304E">
        <w:rPr>
          <w:bCs/>
          <w:lang w:val="uk-UA"/>
        </w:rPr>
        <w:t xml:space="preserve"> відом</w:t>
      </w:r>
      <w:r w:rsidR="000E5500" w:rsidRPr="002F304E">
        <w:rPr>
          <w:bCs/>
          <w:lang w:val="uk-UA"/>
        </w:rPr>
        <w:t>ої</w:t>
      </w:r>
      <w:r w:rsidRPr="002F304E">
        <w:rPr>
          <w:bCs/>
          <w:lang w:val="uk-UA"/>
        </w:rPr>
        <w:t xml:space="preserve"> стійкості збудника до </w:t>
      </w:r>
      <w:proofErr w:type="spellStart"/>
      <w:r w:rsidRPr="002F304E">
        <w:rPr>
          <w:bCs/>
          <w:lang w:val="uk-UA"/>
        </w:rPr>
        <w:t>амоксициліну</w:t>
      </w:r>
      <w:proofErr w:type="spellEnd"/>
      <w:r w:rsidRPr="002F304E">
        <w:rPr>
          <w:bCs/>
          <w:lang w:val="uk-UA"/>
        </w:rPr>
        <w:t>.</w:t>
      </w:r>
    </w:p>
    <w:p w14:paraId="0FB0CF4E" w14:textId="77777777" w:rsidR="00C30403" w:rsidRPr="002F304E" w:rsidRDefault="00B328E6" w:rsidP="00C30403">
      <w:pPr>
        <w:ind w:firstLine="567"/>
        <w:jc w:val="both"/>
        <w:rPr>
          <w:b/>
          <w:lang w:val="uk-UA"/>
        </w:rPr>
      </w:pPr>
      <w:r w:rsidRPr="002F304E">
        <w:rPr>
          <w:b/>
          <w:lang w:val="uk-UA"/>
        </w:rPr>
        <w:t xml:space="preserve">5.4 Побічна дія </w:t>
      </w:r>
    </w:p>
    <w:p w14:paraId="0D0D9491" w14:textId="77777777" w:rsidR="00B328E6" w:rsidRPr="002F304E" w:rsidRDefault="00C30403" w:rsidP="00B328E6">
      <w:pPr>
        <w:ind w:firstLine="567"/>
        <w:jc w:val="both"/>
        <w:rPr>
          <w:lang w:val="uk-UA"/>
        </w:rPr>
      </w:pPr>
      <w:r w:rsidRPr="002F304E">
        <w:rPr>
          <w:lang w:val="uk-UA"/>
        </w:rPr>
        <w:t>Пеніциліни та цефалоспорини можуть викликати підвищену чутливість (алергію) після введення. Алергічні реакції на ці речовини іноді можуть бути важкими (анафілаксія).</w:t>
      </w:r>
    </w:p>
    <w:p w14:paraId="5D093F1D" w14:textId="77777777" w:rsidR="00B328E6" w:rsidRPr="002F304E" w:rsidRDefault="00B328E6" w:rsidP="00B328E6">
      <w:pPr>
        <w:ind w:firstLine="567"/>
        <w:jc w:val="both"/>
        <w:rPr>
          <w:b/>
          <w:lang w:val="uk-UA"/>
        </w:rPr>
      </w:pPr>
      <w:r w:rsidRPr="002F304E">
        <w:rPr>
          <w:b/>
          <w:lang w:val="uk-UA"/>
        </w:rPr>
        <w:t>5.5 Особливі застереження при використанні</w:t>
      </w:r>
    </w:p>
    <w:p w14:paraId="46C71D77" w14:textId="022328F8" w:rsidR="00B328E6" w:rsidRPr="002F304E" w:rsidRDefault="00B328E6" w:rsidP="00B328E6">
      <w:pPr>
        <w:widowControl w:val="0"/>
        <w:tabs>
          <w:tab w:val="left" w:pos="0"/>
        </w:tabs>
        <w:ind w:firstLine="567"/>
        <w:jc w:val="both"/>
        <w:rPr>
          <w:lang w:val="uk-UA"/>
        </w:rPr>
      </w:pPr>
      <w:r w:rsidRPr="002F304E">
        <w:rPr>
          <w:lang w:val="uk-UA"/>
        </w:rPr>
        <w:t xml:space="preserve">Нераціональне </w:t>
      </w:r>
      <w:r w:rsidR="000E5500" w:rsidRPr="002F304E">
        <w:rPr>
          <w:lang w:val="uk-UA"/>
        </w:rPr>
        <w:t>застосування препарату</w:t>
      </w:r>
      <w:r w:rsidRPr="002F304E">
        <w:rPr>
          <w:lang w:val="uk-UA"/>
        </w:rPr>
        <w:t xml:space="preserve"> може збільшити поширеність бактеріальної резистентності до </w:t>
      </w:r>
      <w:proofErr w:type="spellStart"/>
      <w:r w:rsidRPr="002F304E">
        <w:rPr>
          <w:lang w:val="uk-UA"/>
        </w:rPr>
        <w:t>амоксициліну</w:t>
      </w:r>
      <w:proofErr w:type="spellEnd"/>
      <w:r w:rsidRPr="002F304E">
        <w:rPr>
          <w:lang w:val="uk-UA"/>
        </w:rPr>
        <w:t xml:space="preserve"> та може знизити його ефективність. Відповідно до клінічної практики лікування повинно </w:t>
      </w:r>
      <w:r w:rsidR="00A67137" w:rsidRPr="002F304E">
        <w:rPr>
          <w:lang w:val="uk-UA"/>
        </w:rPr>
        <w:t>ґрунтуватись</w:t>
      </w:r>
      <w:r w:rsidRPr="002F304E">
        <w:rPr>
          <w:lang w:val="uk-UA"/>
        </w:rPr>
        <w:t xml:space="preserve"> </w:t>
      </w:r>
      <w:r w:rsidR="00A67137" w:rsidRPr="002F304E">
        <w:rPr>
          <w:lang w:val="uk-UA"/>
        </w:rPr>
        <w:t xml:space="preserve">на визначенні чутливості </w:t>
      </w:r>
      <w:r w:rsidR="00A0165B" w:rsidRPr="002F304E">
        <w:rPr>
          <w:lang w:val="uk-UA"/>
        </w:rPr>
        <w:t xml:space="preserve">збудника/збудників </w:t>
      </w:r>
      <w:r w:rsidR="00A67137" w:rsidRPr="002F304E">
        <w:rPr>
          <w:lang w:val="uk-UA"/>
        </w:rPr>
        <w:t>збудника захворювання</w:t>
      </w:r>
      <w:r w:rsidRPr="002F304E">
        <w:rPr>
          <w:lang w:val="uk-UA"/>
        </w:rPr>
        <w:t xml:space="preserve"> до </w:t>
      </w:r>
      <w:proofErr w:type="spellStart"/>
      <w:r w:rsidR="00A67137" w:rsidRPr="002F304E">
        <w:rPr>
          <w:lang w:val="uk-UA"/>
        </w:rPr>
        <w:t>амоксициліну</w:t>
      </w:r>
      <w:proofErr w:type="spellEnd"/>
      <w:r w:rsidRPr="002F304E">
        <w:rPr>
          <w:lang w:val="uk-UA"/>
        </w:rPr>
        <w:t xml:space="preserve">. </w:t>
      </w:r>
    </w:p>
    <w:p w14:paraId="5FC24794" w14:textId="77777777" w:rsidR="00C30403" w:rsidRPr="002F304E" w:rsidRDefault="00C30403" w:rsidP="00B328E6">
      <w:pPr>
        <w:widowControl w:val="0"/>
        <w:tabs>
          <w:tab w:val="left" w:pos="0"/>
        </w:tabs>
        <w:ind w:firstLine="567"/>
        <w:jc w:val="both"/>
        <w:rPr>
          <w:lang w:val="uk-UA"/>
        </w:rPr>
      </w:pPr>
      <w:r w:rsidRPr="002F304E">
        <w:rPr>
          <w:lang w:val="uk-UA"/>
        </w:rPr>
        <w:t>Не вводити більше 20 мл в одне місце ін'єкції.</w:t>
      </w:r>
    </w:p>
    <w:p w14:paraId="3B40E171" w14:textId="2F99F701" w:rsidR="00B328E6" w:rsidRPr="002F304E" w:rsidRDefault="00A67137" w:rsidP="00B328E6">
      <w:pPr>
        <w:widowControl w:val="0"/>
        <w:tabs>
          <w:tab w:val="left" w:pos="0"/>
        </w:tabs>
        <w:ind w:firstLine="567"/>
        <w:jc w:val="both"/>
        <w:rPr>
          <w:lang w:val="uk-UA"/>
        </w:rPr>
      </w:pPr>
      <w:r w:rsidRPr="002F304E">
        <w:rPr>
          <w:lang w:val="uk-UA"/>
        </w:rPr>
        <w:t xml:space="preserve">Під час </w:t>
      </w:r>
      <w:r w:rsidR="00B328E6" w:rsidRPr="002F304E">
        <w:rPr>
          <w:lang w:val="uk-UA"/>
        </w:rPr>
        <w:t>робот</w:t>
      </w:r>
      <w:r w:rsidRPr="002F304E">
        <w:rPr>
          <w:lang w:val="uk-UA"/>
        </w:rPr>
        <w:t>и</w:t>
      </w:r>
      <w:r w:rsidR="00B328E6" w:rsidRPr="002F304E">
        <w:rPr>
          <w:lang w:val="uk-UA"/>
        </w:rPr>
        <w:t xml:space="preserve"> з препаратом потрібно дотримуватися правил асептики.</w:t>
      </w:r>
    </w:p>
    <w:p w14:paraId="43157C60" w14:textId="77777777" w:rsidR="00B328E6" w:rsidRPr="002F304E" w:rsidRDefault="00B328E6" w:rsidP="00B328E6">
      <w:pPr>
        <w:ind w:firstLine="567"/>
        <w:jc w:val="both"/>
        <w:rPr>
          <w:b/>
          <w:lang w:val="uk-UA"/>
        </w:rPr>
      </w:pPr>
      <w:r w:rsidRPr="002F304E">
        <w:rPr>
          <w:b/>
          <w:lang w:val="uk-UA"/>
        </w:rPr>
        <w:t>5.6 Застосування під час вагітності, лактації, несучості</w:t>
      </w:r>
    </w:p>
    <w:p w14:paraId="2A513DED" w14:textId="6E1D17BB" w:rsidR="00B328E6" w:rsidRPr="002F304E" w:rsidRDefault="00B328E6" w:rsidP="00B328E6">
      <w:pPr>
        <w:ind w:firstLine="567"/>
        <w:jc w:val="both"/>
        <w:rPr>
          <w:lang w:val="uk-UA"/>
        </w:rPr>
      </w:pPr>
      <w:r w:rsidRPr="002F304E">
        <w:rPr>
          <w:lang w:val="uk-UA"/>
        </w:rPr>
        <w:t xml:space="preserve">Під час дослідження на лабораторних тваринах не було виявлено </w:t>
      </w:r>
      <w:proofErr w:type="spellStart"/>
      <w:r w:rsidR="00A0165B" w:rsidRPr="002F304E">
        <w:rPr>
          <w:lang w:val="uk-UA"/>
        </w:rPr>
        <w:t>тератогенної</w:t>
      </w:r>
      <w:proofErr w:type="spellEnd"/>
      <w:r w:rsidR="00A0165B" w:rsidRPr="002F304E">
        <w:rPr>
          <w:lang w:val="uk-UA"/>
        </w:rPr>
        <w:t xml:space="preserve"> та </w:t>
      </w:r>
      <w:proofErr w:type="spellStart"/>
      <w:r w:rsidR="00A0165B" w:rsidRPr="002F304E">
        <w:rPr>
          <w:lang w:val="uk-UA"/>
        </w:rPr>
        <w:t>ембріотоксичної</w:t>
      </w:r>
      <w:proofErr w:type="spellEnd"/>
      <w:r w:rsidR="00A0165B" w:rsidRPr="002F304E">
        <w:rPr>
          <w:lang w:val="uk-UA"/>
        </w:rPr>
        <w:t xml:space="preserve"> дії</w:t>
      </w:r>
      <w:r w:rsidRPr="002F304E">
        <w:rPr>
          <w:lang w:val="uk-UA"/>
        </w:rPr>
        <w:t xml:space="preserve"> чи </w:t>
      </w:r>
      <w:r w:rsidR="007B64FD" w:rsidRPr="002F304E">
        <w:rPr>
          <w:lang w:val="uk-UA"/>
        </w:rPr>
        <w:t>токсичного</w:t>
      </w:r>
      <w:r w:rsidRPr="002F304E">
        <w:rPr>
          <w:lang w:val="uk-UA"/>
        </w:rPr>
        <w:t xml:space="preserve"> впливу </w:t>
      </w:r>
      <w:proofErr w:type="spellStart"/>
      <w:r w:rsidRPr="002F304E">
        <w:rPr>
          <w:lang w:val="uk-UA"/>
        </w:rPr>
        <w:t>амоксициліну</w:t>
      </w:r>
      <w:proofErr w:type="spellEnd"/>
      <w:r w:rsidR="008B779B" w:rsidRPr="002F304E">
        <w:rPr>
          <w:lang w:val="uk-UA"/>
        </w:rPr>
        <w:t xml:space="preserve"> на материнський організм</w:t>
      </w:r>
      <w:r w:rsidRPr="002F304E">
        <w:rPr>
          <w:lang w:val="uk-UA"/>
        </w:rPr>
        <w:t>.</w:t>
      </w:r>
    </w:p>
    <w:p w14:paraId="09C178C7" w14:textId="77777777" w:rsidR="00B328E6" w:rsidRPr="002F304E" w:rsidRDefault="00B328E6" w:rsidP="00B328E6">
      <w:pPr>
        <w:ind w:firstLine="567"/>
        <w:jc w:val="both"/>
        <w:rPr>
          <w:lang w:val="uk-UA"/>
        </w:rPr>
      </w:pPr>
      <w:r w:rsidRPr="002F304E">
        <w:rPr>
          <w:lang w:val="uk-UA"/>
        </w:rPr>
        <w:t xml:space="preserve">Однак нешкідливість застосування </w:t>
      </w:r>
      <w:proofErr w:type="spellStart"/>
      <w:r w:rsidRPr="002F304E">
        <w:rPr>
          <w:lang w:val="uk-UA"/>
        </w:rPr>
        <w:t>амоксициліну</w:t>
      </w:r>
      <w:proofErr w:type="spellEnd"/>
      <w:r w:rsidRPr="002F304E">
        <w:rPr>
          <w:lang w:val="uk-UA"/>
        </w:rPr>
        <w:t xml:space="preserve"> для цільових видів тварин під час вагітності не досліджували. Застосування препарату вагітним тваринам повинно залежати від оцінки співвідношення ризик/користь лікарем ветеринарної медицини.</w:t>
      </w:r>
    </w:p>
    <w:p w14:paraId="5E432F4D" w14:textId="77777777" w:rsidR="00B328E6" w:rsidRPr="002F304E" w:rsidRDefault="00B328E6" w:rsidP="00B328E6">
      <w:pPr>
        <w:ind w:firstLine="567"/>
        <w:jc w:val="both"/>
        <w:rPr>
          <w:b/>
          <w:lang w:val="uk-UA"/>
        </w:rPr>
      </w:pPr>
      <w:r w:rsidRPr="002F304E">
        <w:rPr>
          <w:b/>
          <w:lang w:val="uk-UA"/>
        </w:rPr>
        <w:t>5.7 Взаємодія з іншими засобами та інші форми взаємодії</w:t>
      </w:r>
    </w:p>
    <w:p w14:paraId="527A81FA" w14:textId="78AAD355" w:rsidR="00B328E6" w:rsidRPr="002F304E" w:rsidRDefault="00B328E6" w:rsidP="00B328E6">
      <w:pPr>
        <w:ind w:firstLine="567"/>
        <w:jc w:val="both"/>
        <w:rPr>
          <w:lang w:val="uk-UA"/>
        </w:rPr>
      </w:pPr>
      <w:r w:rsidRPr="002F304E">
        <w:rPr>
          <w:lang w:val="uk-UA"/>
        </w:rPr>
        <w:t xml:space="preserve">Бактерицидний ефект </w:t>
      </w:r>
      <w:proofErr w:type="spellStart"/>
      <w:r w:rsidRPr="002F304E">
        <w:rPr>
          <w:lang w:val="uk-UA"/>
        </w:rPr>
        <w:t>амоксициліну</w:t>
      </w:r>
      <w:proofErr w:type="spellEnd"/>
      <w:r w:rsidRPr="002F304E">
        <w:rPr>
          <w:lang w:val="uk-UA"/>
        </w:rPr>
        <w:t xml:space="preserve"> нейтралізується </w:t>
      </w:r>
      <w:r w:rsidR="00A67137" w:rsidRPr="002F304E">
        <w:rPr>
          <w:lang w:val="uk-UA"/>
        </w:rPr>
        <w:t>за</w:t>
      </w:r>
      <w:r w:rsidRPr="002F304E">
        <w:rPr>
          <w:lang w:val="uk-UA"/>
        </w:rPr>
        <w:t xml:space="preserve"> одночасно</w:t>
      </w:r>
      <w:r w:rsidR="00A67137" w:rsidRPr="002F304E">
        <w:rPr>
          <w:lang w:val="uk-UA"/>
        </w:rPr>
        <w:t>го</w:t>
      </w:r>
      <w:r w:rsidRPr="002F304E">
        <w:rPr>
          <w:lang w:val="uk-UA"/>
        </w:rPr>
        <w:t xml:space="preserve"> застосуванн</w:t>
      </w:r>
      <w:r w:rsidR="00A67137" w:rsidRPr="002F304E">
        <w:rPr>
          <w:lang w:val="uk-UA"/>
        </w:rPr>
        <w:t>я</w:t>
      </w:r>
      <w:r w:rsidRPr="002F304E">
        <w:rPr>
          <w:lang w:val="uk-UA"/>
        </w:rPr>
        <w:t xml:space="preserve"> з речовинами, що діють </w:t>
      </w:r>
      <w:proofErr w:type="spellStart"/>
      <w:r w:rsidRPr="002F304E">
        <w:rPr>
          <w:lang w:val="uk-UA"/>
        </w:rPr>
        <w:t>бактеріостатично</w:t>
      </w:r>
      <w:proofErr w:type="spellEnd"/>
      <w:r w:rsidRPr="002F304E">
        <w:rPr>
          <w:lang w:val="uk-UA"/>
        </w:rPr>
        <w:t xml:space="preserve"> (</w:t>
      </w:r>
      <w:proofErr w:type="spellStart"/>
      <w:r w:rsidRPr="002F304E">
        <w:rPr>
          <w:lang w:val="uk-UA"/>
        </w:rPr>
        <w:t>макроліди</w:t>
      </w:r>
      <w:proofErr w:type="spellEnd"/>
      <w:r w:rsidRPr="002F304E">
        <w:rPr>
          <w:lang w:val="uk-UA"/>
        </w:rPr>
        <w:t xml:space="preserve">, тетрациклін та </w:t>
      </w:r>
      <w:proofErr w:type="spellStart"/>
      <w:r w:rsidRPr="002F304E">
        <w:rPr>
          <w:lang w:val="uk-UA"/>
        </w:rPr>
        <w:t>сульфонаміди</w:t>
      </w:r>
      <w:proofErr w:type="spellEnd"/>
      <w:r w:rsidRPr="002F304E">
        <w:rPr>
          <w:lang w:val="uk-UA"/>
        </w:rPr>
        <w:t>).</w:t>
      </w:r>
      <w:r w:rsidR="00C30403" w:rsidRPr="002F304E">
        <w:rPr>
          <w:lang w:val="uk-UA"/>
        </w:rPr>
        <w:t xml:space="preserve"> Така взаємодія, тим не менш, матиме бактеріостатичний ефект.</w:t>
      </w:r>
    </w:p>
    <w:p w14:paraId="40D927F7" w14:textId="77777777" w:rsidR="00B328E6" w:rsidRPr="002F304E" w:rsidRDefault="00B328E6" w:rsidP="00B328E6">
      <w:pPr>
        <w:ind w:firstLine="567"/>
        <w:jc w:val="both"/>
        <w:rPr>
          <w:b/>
          <w:lang w:val="uk-UA"/>
        </w:rPr>
      </w:pPr>
      <w:r w:rsidRPr="002F304E">
        <w:rPr>
          <w:b/>
          <w:lang w:val="uk-UA"/>
        </w:rPr>
        <w:t>5.8 Дози і способи введення тваринам різного віку</w:t>
      </w:r>
    </w:p>
    <w:p w14:paraId="65DF07E5" w14:textId="5F1BEC65" w:rsidR="00B328E6" w:rsidRPr="002F304E" w:rsidRDefault="00A0165B" w:rsidP="00B328E6">
      <w:pPr>
        <w:widowControl w:val="0"/>
        <w:tabs>
          <w:tab w:val="left" w:pos="0"/>
        </w:tabs>
        <w:ind w:firstLine="567"/>
        <w:jc w:val="both"/>
        <w:rPr>
          <w:lang w:val="uk-UA"/>
        </w:rPr>
      </w:pPr>
      <w:proofErr w:type="spellStart"/>
      <w:r w:rsidRPr="002F304E">
        <w:rPr>
          <w:lang w:val="uk-UA"/>
        </w:rPr>
        <w:t>Внутрішньом’язово</w:t>
      </w:r>
      <w:proofErr w:type="spellEnd"/>
      <w:r w:rsidRPr="002F304E">
        <w:rPr>
          <w:lang w:val="uk-UA"/>
        </w:rPr>
        <w:t xml:space="preserve"> у дозі 15 мг </w:t>
      </w:r>
      <w:proofErr w:type="spellStart"/>
      <w:r w:rsidRPr="002F304E">
        <w:rPr>
          <w:lang w:val="uk-UA"/>
        </w:rPr>
        <w:t>амоксициліну</w:t>
      </w:r>
      <w:proofErr w:type="spellEnd"/>
      <w:r w:rsidRPr="002F304E">
        <w:rPr>
          <w:lang w:val="uk-UA"/>
        </w:rPr>
        <w:t xml:space="preserve"> на 1 кг маси тіла тварини, або 1 </w:t>
      </w:r>
      <w:proofErr w:type="spellStart"/>
      <w:r w:rsidRPr="002F304E">
        <w:rPr>
          <w:lang w:val="uk-UA"/>
        </w:rPr>
        <w:t>мл</w:t>
      </w:r>
      <w:proofErr w:type="spellEnd"/>
      <w:r w:rsidRPr="002F304E">
        <w:rPr>
          <w:lang w:val="uk-UA"/>
        </w:rPr>
        <w:t xml:space="preserve"> препарату на 10 кг маси тіла тварини, двічі з інтервалом 48 год. </w:t>
      </w:r>
      <w:r w:rsidR="002B721B" w:rsidRPr="002F304E">
        <w:rPr>
          <w:lang w:val="uk-UA"/>
        </w:rPr>
        <w:t xml:space="preserve"> </w:t>
      </w:r>
      <w:r w:rsidR="00031FD5" w:rsidRPr="002F304E">
        <w:rPr>
          <w:lang w:val="uk-UA"/>
        </w:rPr>
        <w:t xml:space="preserve"> </w:t>
      </w:r>
    </w:p>
    <w:p w14:paraId="383EBBE0" w14:textId="77777777" w:rsidR="000060F7" w:rsidRPr="002F304E" w:rsidRDefault="000060F7" w:rsidP="000060F7">
      <w:pPr>
        <w:widowControl w:val="0"/>
        <w:tabs>
          <w:tab w:val="left" w:pos="0"/>
        </w:tabs>
        <w:ind w:firstLine="567"/>
        <w:jc w:val="both"/>
        <w:rPr>
          <w:lang w:val="uk-UA"/>
        </w:rPr>
      </w:pPr>
      <w:r w:rsidRPr="002F304E">
        <w:rPr>
          <w:lang w:val="uk-UA"/>
        </w:rPr>
        <w:t>Щоб забезпечити правильне дозування та уникнути передозування, необхідно якомога точніше визначити масу тіла тварини.</w:t>
      </w:r>
    </w:p>
    <w:p w14:paraId="59BA587D" w14:textId="77777777" w:rsidR="00B328E6" w:rsidRPr="002F304E" w:rsidRDefault="00B328E6" w:rsidP="00B328E6">
      <w:pPr>
        <w:widowControl w:val="0"/>
        <w:tabs>
          <w:tab w:val="left" w:pos="0"/>
        </w:tabs>
        <w:ind w:firstLine="567"/>
        <w:jc w:val="both"/>
        <w:rPr>
          <w:lang w:val="uk-UA"/>
        </w:rPr>
      </w:pPr>
      <w:r w:rsidRPr="002F304E">
        <w:rPr>
          <w:lang w:val="uk-UA"/>
        </w:rPr>
        <w:t xml:space="preserve">Якщо об'єм дози перевищує 20 мл для великої рогатої худоби та 6 мл – для свиней, його необхідно розділити та ввести в різні ділянки тіла. </w:t>
      </w:r>
    </w:p>
    <w:p w14:paraId="5CE1A4A0" w14:textId="77777777" w:rsidR="00B328E6" w:rsidRPr="002F304E" w:rsidRDefault="00B328E6" w:rsidP="00B328E6">
      <w:pPr>
        <w:widowControl w:val="0"/>
        <w:tabs>
          <w:tab w:val="left" w:pos="0"/>
        </w:tabs>
        <w:ind w:firstLine="567"/>
        <w:jc w:val="both"/>
        <w:rPr>
          <w:lang w:val="uk-UA"/>
        </w:rPr>
      </w:pPr>
      <w:r w:rsidRPr="002F304E">
        <w:rPr>
          <w:lang w:val="uk-UA"/>
        </w:rPr>
        <w:t xml:space="preserve">Перед застосуванням флакон ретельно струшують. </w:t>
      </w:r>
    </w:p>
    <w:p w14:paraId="57757992" w14:textId="77777777" w:rsidR="00B328E6" w:rsidRPr="002F304E" w:rsidRDefault="00B328E6" w:rsidP="00B328E6">
      <w:pPr>
        <w:widowControl w:val="0"/>
        <w:tabs>
          <w:tab w:val="left" w:pos="0"/>
        </w:tabs>
        <w:ind w:firstLine="567"/>
        <w:jc w:val="both"/>
        <w:rPr>
          <w:lang w:val="uk-UA"/>
        </w:rPr>
      </w:pPr>
      <w:r w:rsidRPr="002F304E">
        <w:rPr>
          <w:lang w:val="uk-UA"/>
        </w:rPr>
        <w:t>При кожному наступному введенні слід використовувати інше місце ін'єкції.</w:t>
      </w:r>
    </w:p>
    <w:p w14:paraId="50C5C203" w14:textId="77777777" w:rsidR="00B328E6" w:rsidRPr="002F304E" w:rsidRDefault="00B328E6" w:rsidP="00B328E6">
      <w:pPr>
        <w:widowControl w:val="0"/>
        <w:tabs>
          <w:tab w:val="left" w:pos="0"/>
        </w:tabs>
        <w:ind w:firstLine="567"/>
        <w:jc w:val="both"/>
        <w:rPr>
          <w:b/>
          <w:lang w:val="uk-UA"/>
        </w:rPr>
      </w:pPr>
      <w:r w:rsidRPr="002F304E">
        <w:rPr>
          <w:b/>
          <w:lang w:val="uk-UA"/>
        </w:rPr>
        <w:t>5.9 Передозування (симптоми, невідкладні заходи, антидоти)</w:t>
      </w:r>
    </w:p>
    <w:p w14:paraId="4DB0BD1D" w14:textId="77777777" w:rsidR="00B328E6" w:rsidRPr="002F304E" w:rsidRDefault="00B328E6" w:rsidP="00B328E6">
      <w:pPr>
        <w:ind w:firstLine="567"/>
        <w:jc w:val="both"/>
        <w:rPr>
          <w:lang w:val="uk-UA"/>
        </w:rPr>
      </w:pPr>
      <w:r w:rsidRPr="002F304E">
        <w:rPr>
          <w:lang w:val="uk-UA"/>
        </w:rPr>
        <w:t>У рекомендованих дозах застосування препарату є безпечним. Введення 5-кратної дози не спричинює появу побічних ефектів. У деяких тварин можлива поява місцевої реакції у місці введення, що зникає без спеціального лікування чи наслідків для тварин.</w:t>
      </w:r>
    </w:p>
    <w:p w14:paraId="1053DB14" w14:textId="77777777" w:rsidR="00B328E6" w:rsidRPr="002F304E" w:rsidRDefault="00B328E6" w:rsidP="00B328E6">
      <w:pPr>
        <w:widowControl w:val="0"/>
        <w:ind w:firstLine="567"/>
        <w:jc w:val="both"/>
        <w:rPr>
          <w:b/>
          <w:lang w:val="uk-UA"/>
        </w:rPr>
      </w:pPr>
      <w:r w:rsidRPr="002F304E">
        <w:rPr>
          <w:b/>
          <w:lang w:val="uk-UA"/>
        </w:rPr>
        <w:t>5.10 Спеціальні застереження</w:t>
      </w:r>
    </w:p>
    <w:p w14:paraId="7C084410" w14:textId="77777777" w:rsidR="00B328E6" w:rsidRPr="002F304E" w:rsidRDefault="000060F7" w:rsidP="00B328E6">
      <w:pPr>
        <w:widowControl w:val="0"/>
        <w:ind w:firstLine="567"/>
        <w:jc w:val="both"/>
        <w:rPr>
          <w:lang w:val="uk-UA"/>
        </w:rPr>
      </w:pPr>
      <w:r w:rsidRPr="002F304E">
        <w:rPr>
          <w:lang w:val="uk-UA"/>
        </w:rPr>
        <w:t>Відсутні</w:t>
      </w:r>
      <w:r w:rsidR="00B328E6" w:rsidRPr="002F304E">
        <w:rPr>
          <w:lang w:val="uk-UA"/>
        </w:rPr>
        <w:t xml:space="preserve">. </w:t>
      </w:r>
    </w:p>
    <w:p w14:paraId="642803AF" w14:textId="77777777" w:rsidR="00B328E6" w:rsidRPr="002F304E" w:rsidRDefault="00B328E6" w:rsidP="00B328E6">
      <w:pPr>
        <w:widowControl w:val="0"/>
        <w:ind w:firstLine="567"/>
        <w:jc w:val="both"/>
        <w:rPr>
          <w:b/>
          <w:lang w:val="uk-UA"/>
        </w:rPr>
      </w:pPr>
      <w:r w:rsidRPr="002F304E">
        <w:rPr>
          <w:b/>
          <w:lang w:val="uk-UA"/>
        </w:rPr>
        <w:t>5.11 Період виведення (</w:t>
      </w:r>
      <w:proofErr w:type="spellStart"/>
      <w:r w:rsidRPr="002F304E">
        <w:rPr>
          <w:b/>
          <w:lang w:val="uk-UA"/>
        </w:rPr>
        <w:t>каренції</w:t>
      </w:r>
      <w:proofErr w:type="spellEnd"/>
      <w:r w:rsidRPr="002F304E">
        <w:rPr>
          <w:b/>
          <w:lang w:val="uk-UA"/>
        </w:rPr>
        <w:t>)</w:t>
      </w:r>
    </w:p>
    <w:p w14:paraId="6E2243BD" w14:textId="31826142" w:rsidR="00B328E6" w:rsidRPr="002F304E" w:rsidRDefault="00B328E6" w:rsidP="00B328E6">
      <w:pPr>
        <w:widowControl w:val="0"/>
        <w:ind w:firstLine="567"/>
        <w:jc w:val="both"/>
        <w:rPr>
          <w:lang w:val="uk-UA"/>
        </w:rPr>
      </w:pPr>
      <w:r w:rsidRPr="002F304E">
        <w:rPr>
          <w:lang w:val="uk-UA"/>
        </w:rPr>
        <w:t xml:space="preserve">Забій тварин на м'ясо дозволяють через 18 діб (велика рогата худоба) та </w:t>
      </w:r>
      <w:r w:rsidR="000060F7" w:rsidRPr="002F304E">
        <w:rPr>
          <w:lang w:val="uk-UA"/>
        </w:rPr>
        <w:t>16</w:t>
      </w:r>
      <w:r w:rsidRPr="002F304E">
        <w:rPr>
          <w:lang w:val="uk-UA"/>
        </w:rPr>
        <w:t xml:space="preserve"> діб (свині) після останнього застосування препарату. Споживання молока дозволяють через 3 доби після останнього застосування препарату. Отримане до зазначеного терміну м'ясо та молоко утилізують або згодовують непродуктивним тваринам залежно від висновку лікаря ветеринарної медицини.</w:t>
      </w:r>
    </w:p>
    <w:p w14:paraId="338D8A78" w14:textId="77777777" w:rsidR="00B328E6" w:rsidRPr="002F304E" w:rsidRDefault="00B328E6" w:rsidP="00B328E6">
      <w:pPr>
        <w:widowControl w:val="0"/>
        <w:ind w:firstLine="567"/>
        <w:jc w:val="both"/>
        <w:rPr>
          <w:b/>
          <w:lang w:val="uk-UA"/>
        </w:rPr>
      </w:pPr>
      <w:r w:rsidRPr="002F304E">
        <w:rPr>
          <w:b/>
          <w:lang w:val="uk-UA"/>
        </w:rPr>
        <w:t>5.12 Спеціальні застереження для осіб і обслуговуючого персоналу</w:t>
      </w:r>
    </w:p>
    <w:p w14:paraId="5805EB25" w14:textId="77777777" w:rsidR="00086D11" w:rsidRPr="002F304E" w:rsidRDefault="00086D11" w:rsidP="00B328E6">
      <w:pPr>
        <w:shd w:val="clear" w:color="auto" w:fill="FFFFFF"/>
        <w:tabs>
          <w:tab w:val="left" w:pos="480"/>
        </w:tabs>
        <w:spacing w:before="10" w:line="277" w:lineRule="exact"/>
        <w:ind w:firstLine="567"/>
        <w:jc w:val="both"/>
        <w:rPr>
          <w:lang w:val="uk-UA"/>
        </w:rPr>
      </w:pPr>
    </w:p>
    <w:p w14:paraId="422209C8" w14:textId="77777777" w:rsidR="00D42AC3" w:rsidRPr="002F304E" w:rsidRDefault="00D42AC3" w:rsidP="00086D11">
      <w:pPr>
        <w:ind w:left="4956"/>
        <w:jc w:val="right"/>
        <w:rPr>
          <w:lang w:val="uk-UA"/>
        </w:rPr>
      </w:pPr>
    </w:p>
    <w:p w14:paraId="28BD0ACA" w14:textId="77777777" w:rsidR="00D42AC3" w:rsidRPr="002F304E" w:rsidRDefault="00D42AC3" w:rsidP="004D3EB5">
      <w:pPr>
        <w:rPr>
          <w:lang w:val="uk-UA"/>
        </w:rPr>
      </w:pPr>
    </w:p>
    <w:p w14:paraId="761AC434" w14:textId="52E7FC0B" w:rsidR="00086D11" w:rsidRPr="002F304E" w:rsidRDefault="00086D11" w:rsidP="00086D11">
      <w:pPr>
        <w:ind w:left="4956"/>
        <w:jc w:val="right"/>
        <w:rPr>
          <w:lang w:val="uk-UA"/>
        </w:rPr>
      </w:pPr>
      <w:r w:rsidRPr="002F304E">
        <w:rPr>
          <w:lang w:val="uk-UA"/>
        </w:rPr>
        <w:t>Продовження додатку 1</w:t>
      </w:r>
    </w:p>
    <w:p w14:paraId="7BE5EFF4" w14:textId="77777777" w:rsidR="00086D11" w:rsidRPr="002F304E" w:rsidRDefault="00086D11" w:rsidP="00086D11">
      <w:pPr>
        <w:shd w:val="clear" w:color="auto" w:fill="FFFFFF"/>
        <w:tabs>
          <w:tab w:val="left" w:pos="480"/>
        </w:tabs>
        <w:spacing w:before="10" w:line="277" w:lineRule="exact"/>
        <w:ind w:firstLine="567"/>
        <w:jc w:val="right"/>
        <w:rPr>
          <w:lang w:val="uk-UA"/>
        </w:rPr>
      </w:pPr>
      <w:r w:rsidRPr="002F304E">
        <w:rPr>
          <w:lang w:val="uk-UA"/>
        </w:rPr>
        <w:t xml:space="preserve">до реєстраційного посвідчення </w:t>
      </w:r>
    </w:p>
    <w:p w14:paraId="3F336797" w14:textId="77777777" w:rsidR="00086D11" w:rsidRPr="002F304E" w:rsidRDefault="00086D11" w:rsidP="00086D11">
      <w:pPr>
        <w:shd w:val="clear" w:color="auto" w:fill="FFFFFF"/>
        <w:tabs>
          <w:tab w:val="left" w:pos="480"/>
        </w:tabs>
        <w:spacing w:before="10" w:line="277" w:lineRule="exact"/>
        <w:ind w:firstLine="567"/>
        <w:jc w:val="right"/>
        <w:rPr>
          <w:lang w:val="uk-UA"/>
        </w:rPr>
      </w:pPr>
    </w:p>
    <w:p w14:paraId="2A1521EE" w14:textId="77777777" w:rsidR="004D3EB5" w:rsidRPr="002F304E" w:rsidRDefault="004D3EB5" w:rsidP="00086D11">
      <w:pPr>
        <w:shd w:val="clear" w:color="auto" w:fill="FFFFFF"/>
        <w:tabs>
          <w:tab w:val="left" w:pos="480"/>
        </w:tabs>
        <w:spacing w:before="10" w:line="277" w:lineRule="exact"/>
        <w:ind w:firstLine="567"/>
        <w:jc w:val="right"/>
        <w:rPr>
          <w:lang w:val="uk-UA"/>
        </w:rPr>
      </w:pPr>
    </w:p>
    <w:p w14:paraId="3219E0C0" w14:textId="77777777" w:rsidR="00C30403" w:rsidRPr="002F304E" w:rsidRDefault="00C30403" w:rsidP="00C30403">
      <w:pPr>
        <w:shd w:val="clear" w:color="auto" w:fill="FFFFFF"/>
        <w:tabs>
          <w:tab w:val="left" w:pos="480"/>
        </w:tabs>
        <w:spacing w:before="10" w:line="277" w:lineRule="exact"/>
        <w:ind w:firstLine="567"/>
        <w:jc w:val="both"/>
        <w:rPr>
          <w:lang w:val="uk-UA"/>
        </w:rPr>
      </w:pPr>
      <w:r w:rsidRPr="002F304E">
        <w:rPr>
          <w:lang w:val="uk-UA"/>
        </w:rPr>
        <w:t xml:space="preserve">Пеніциліни та цефалоспорини можуть викликати реакції </w:t>
      </w:r>
      <w:proofErr w:type="spellStart"/>
      <w:r w:rsidRPr="002F304E">
        <w:rPr>
          <w:lang w:val="uk-UA"/>
        </w:rPr>
        <w:t>гіперчутливості</w:t>
      </w:r>
      <w:proofErr w:type="spellEnd"/>
      <w:r w:rsidRPr="002F304E">
        <w:rPr>
          <w:lang w:val="uk-UA"/>
        </w:rPr>
        <w:t xml:space="preserve"> (алергію) після ін'єкцій, вдихання, прийому всередину або контакту зі шкірою. Підвищена чутливість до пеніцилінів може призвести до перехресних реакцій з цефалоспоринами, і навпаки. Ці реакції </w:t>
      </w:r>
      <w:proofErr w:type="spellStart"/>
      <w:r w:rsidRPr="002F304E">
        <w:rPr>
          <w:lang w:val="uk-UA"/>
        </w:rPr>
        <w:t>гіперчутливості</w:t>
      </w:r>
      <w:proofErr w:type="spellEnd"/>
      <w:r w:rsidRPr="002F304E">
        <w:rPr>
          <w:lang w:val="uk-UA"/>
        </w:rPr>
        <w:t xml:space="preserve"> іноді можуть бути серйозними.</w:t>
      </w:r>
    </w:p>
    <w:p w14:paraId="25CFF7E0" w14:textId="77777777" w:rsidR="00C30403" w:rsidRPr="002F304E" w:rsidRDefault="00C30403" w:rsidP="00C30403">
      <w:pPr>
        <w:shd w:val="clear" w:color="auto" w:fill="FFFFFF"/>
        <w:tabs>
          <w:tab w:val="left" w:pos="480"/>
        </w:tabs>
        <w:spacing w:before="10" w:line="277" w:lineRule="exact"/>
        <w:ind w:firstLine="567"/>
        <w:jc w:val="both"/>
        <w:rPr>
          <w:lang w:val="uk-UA"/>
        </w:rPr>
      </w:pPr>
      <w:r w:rsidRPr="002F304E">
        <w:rPr>
          <w:lang w:val="uk-UA"/>
        </w:rPr>
        <w:t>Людям з підвищеною чутливістю до пеніцилінів та цефалоспоринів не дозволяється працювати з препаратом.</w:t>
      </w:r>
    </w:p>
    <w:p w14:paraId="366502D9" w14:textId="77777777" w:rsidR="00C30403" w:rsidRPr="002F304E" w:rsidRDefault="00C30403" w:rsidP="00C30403">
      <w:pPr>
        <w:shd w:val="clear" w:color="auto" w:fill="FFFFFF"/>
        <w:tabs>
          <w:tab w:val="left" w:pos="480"/>
        </w:tabs>
        <w:spacing w:before="10" w:line="277" w:lineRule="exact"/>
        <w:ind w:firstLine="567"/>
        <w:jc w:val="both"/>
        <w:rPr>
          <w:lang w:val="uk-UA"/>
        </w:rPr>
      </w:pPr>
      <w:r w:rsidRPr="002F304E">
        <w:rPr>
          <w:lang w:val="uk-UA"/>
        </w:rPr>
        <w:t>У разі випадкового потрапляння на шкіру або в очі негайно промийте їх великою кількістю води.</w:t>
      </w:r>
    </w:p>
    <w:p w14:paraId="5C2B1AB1" w14:textId="77777777" w:rsidR="00C30403" w:rsidRPr="002F304E" w:rsidRDefault="00C30403" w:rsidP="00C30403">
      <w:pPr>
        <w:shd w:val="clear" w:color="auto" w:fill="FFFFFF"/>
        <w:tabs>
          <w:tab w:val="left" w:pos="480"/>
        </w:tabs>
        <w:spacing w:before="10" w:line="277" w:lineRule="exact"/>
        <w:ind w:firstLine="567"/>
        <w:jc w:val="both"/>
        <w:rPr>
          <w:lang w:val="uk-UA"/>
        </w:rPr>
      </w:pPr>
      <w:r w:rsidRPr="002F304E">
        <w:rPr>
          <w:lang w:val="uk-UA"/>
        </w:rPr>
        <w:t>Якщо після контакту з'явилися симптоми (почервоніння шкіри), зверніться за медичною допомогою. Набряк обличчя, губ чи очей або проблеми з диханням є серйозними ознаками, які потребують негайного медичного втручання.</w:t>
      </w:r>
    </w:p>
    <w:p w14:paraId="7CABECA9" w14:textId="77777777" w:rsidR="00B328E6" w:rsidRPr="002F304E" w:rsidRDefault="00B328E6" w:rsidP="00B328E6">
      <w:pPr>
        <w:widowControl w:val="0"/>
        <w:ind w:firstLine="567"/>
        <w:jc w:val="both"/>
        <w:rPr>
          <w:b/>
          <w:lang w:val="uk-UA"/>
        </w:rPr>
      </w:pPr>
      <w:r w:rsidRPr="002F304E">
        <w:rPr>
          <w:b/>
          <w:lang w:val="uk-UA"/>
        </w:rPr>
        <w:t>6. Фармацевтичні особливості</w:t>
      </w:r>
    </w:p>
    <w:p w14:paraId="6AA312F7" w14:textId="77777777" w:rsidR="00B328E6" w:rsidRPr="002F304E" w:rsidRDefault="00B328E6" w:rsidP="00B328E6">
      <w:pPr>
        <w:widowControl w:val="0"/>
        <w:ind w:firstLine="567"/>
        <w:jc w:val="both"/>
        <w:rPr>
          <w:b/>
          <w:lang w:val="uk-UA"/>
        </w:rPr>
      </w:pPr>
      <w:r w:rsidRPr="002F304E">
        <w:rPr>
          <w:b/>
          <w:lang w:val="uk-UA"/>
        </w:rPr>
        <w:t>6.1 Форми несумісності</w:t>
      </w:r>
    </w:p>
    <w:p w14:paraId="0D1B8C70" w14:textId="77777777" w:rsidR="00B328E6" w:rsidRPr="002F304E" w:rsidRDefault="00B328E6" w:rsidP="00B328E6">
      <w:pPr>
        <w:widowControl w:val="0"/>
        <w:ind w:firstLine="567"/>
        <w:jc w:val="both"/>
        <w:rPr>
          <w:lang w:val="uk-UA"/>
        </w:rPr>
      </w:pPr>
      <w:r w:rsidRPr="002F304E">
        <w:rPr>
          <w:lang w:val="uk-UA"/>
        </w:rPr>
        <w:t>Не відомі.</w:t>
      </w:r>
    </w:p>
    <w:p w14:paraId="74E75E14" w14:textId="77777777" w:rsidR="00B328E6" w:rsidRPr="002F304E" w:rsidRDefault="00B328E6" w:rsidP="00B328E6">
      <w:pPr>
        <w:widowControl w:val="0"/>
        <w:ind w:firstLine="567"/>
        <w:jc w:val="both"/>
        <w:rPr>
          <w:b/>
          <w:lang w:val="uk-UA"/>
        </w:rPr>
      </w:pPr>
      <w:r w:rsidRPr="002F304E">
        <w:rPr>
          <w:b/>
          <w:lang w:val="uk-UA"/>
        </w:rPr>
        <w:t>6.2 Термін придатності</w:t>
      </w:r>
    </w:p>
    <w:p w14:paraId="6B112AB6" w14:textId="77777777" w:rsidR="00B328E6" w:rsidRPr="002F304E" w:rsidRDefault="00B328E6" w:rsidP="00B328E6">
      <w:pPr>
        <w:widowControl w:val="0"/>
        <w:ind w:firstLine="567"/>
        <w:jc w:val="both"/>
        <w:rPr>
          <w:lang w:val="uk-UA"/>
        </w:rPr>
      </w:pPr>
      <w:r w:rsidRPr="002F304E">
        <w:rPr>
          <w:lang w:val="uk-UA"/>
        </w:rPr>
        <w:t>3 роки.</w:t>
      </w:r>
    </w:p>
    <w:p w14:paraId="0CA0754B" w14:textId="5E05740E" w:rsidR="00B328E6" w:rsidRPr="002F304E" w:rsidRDefault="00B328E6" w:rsidP="00B328E6">
      <w:pPr>
        <w:widowControl w:val="0"/>
        <w:ind w:firstLine="567"/>
        <w:jc w:val="both"/>
        <w:rPr>
          <w:lang w:val="uk-UA"/>
        </w:rPr>
      </w:pPr>
      <w:r w:rsidRPr="002F304E">
        <w:rPr>
          <w:lang w:val="uk-UA"/>
        </w:rPr>
        <w:t>Після першого відбору із флакона препарат використати протягом 28 діб, за умов зберігання в темному місці за температури від 10 до 25</w:t>
      </w:r>
      <w:r w:rsidR="005B2C14" w:rsidRPr="002F304E">
        <w:rPr>
          <w:lang w:val="uk-UA"/>
        </w:rPr>
        <w:t xml:space="preserve"> </w:t>
      </w:r>
      <w:r w:rsidR="000958CC" w:rsidRPr="002F304E">
        <w:t>°С</w:t>
      </w:r>
      <w:r w:rsidRPr="002F304E">
        <w:rPr>
          <w:lang w:val="uk-UA"/>
        </w:rPr>
        <w:t>.</w:t>
      </w:r>
    </w:p>
    <w:p w14:paraId="02C06463" w14:textId="77777777" w:rsidR="00B328E6" w:rsidRPr="002F304E" w:rsidRDefault="00B328E6" w:rsidP="00B328E6">
      <w:pPr>
        <w:widowControl w:val="0"/>
        <w:ind w:firstLine="567"/>
        <w:jc w:val="both"/>
        <w:rPr>
          <w:b/>
          <w:lang w:val="uk-UA"/>
        </w:rPr>
      </w:pPr>
      <w:r w:rsidRPr="002F304E">
        <w:rPr>
          <w:b/>
          <w:lang w:val="uk-UA"/>
        </w:rPr>
        <w:t>6.3 Особливі заходи зберігання</w:t>
      </w:r>
    </w:p>
    <w:p w14:paraId="29D7EEE7" w14:textId="1152FBC6" w:rsidR="00B328E6" w:rsidRPr="002F304E" w:rsidRDefault="00B328E6" w:rsidP="00B328E6">
      <w:pPr>
        <w:widowControl w:val="0"/>
        <w:ind w:firstLine="567"/>
        <w:jc w:val="both"/>
        <w:rPr>
          <w:lang w:val="uk-UA"/>
        </w:rPr>
      </w:pPr>
      <w:r w:rsidRPr="002F304E">
        <w:rPr>
          <w:lang w:val="uk-UA"/>
        </w:rPr>
        <w:t>Сухе темне недоступне для дітей місце за температури від 10 до 25 °С.</w:t>
      </w:r>
    </w:p>
    <w:p w14:paraId="5BF4CB97" w14:textId="77777777" w:rsidR="00B328E6" w:rsidRPr="002F304E" w:rsidRDefault="00B328E6" w:rsidP="00B328E6">
      <w:pPr>
        <w:widowControl w:val="0"/>
        <w:ind w:firstLine="567"/>
        <w:jc w:val="both"/>
        <w:rPr>
          <w:b/>
          <w:lang w:val="uk-UA"/>
        </w:rPr>
      </w:pPr>
      <w:r w:rsidRPr="002F304E">
        <w:rPr>
          <w:b/>
          <w:lang w:val="uk-UA"/>
        </w:rPr>
        <w:t>6.4 Природа і склад контейнера первинного пакування</w:t>
      </w:r>
    </w:p>
    <w:p w14:paraId="59334F1F" w14:textId="77777777" w:rsidR="00B328E6" w:rsidRPr="002F304E" w:rsidRDefault="00B328E6" w:rsidP="00B328E6">
      <w:pPr>
        <w:widowControl w:val="0"/>
        <w:ind w:firstLine="567"/>
        <w:jc w:val="both"/>
        <w:rPr>
          <w:lang w:val="uk-UA"/>
        </w:rPr>
      </w:pPr>
      <w:r w:rsidRPr="002F304E">
        <w:rPr>
          <w:lang w:val="uk-UA"/>
        </w:rPr>
        <w:t xml:space="preserve">Скляні або пластикові флакони, закриті гумовими корками під алюмінієву обкатку по </w:t>
      </w:r>
      <w:r w:rsidR="000060F7" w:rsidRPr="002F304E">
        <w:rPr>
          <w:lang w:val="uk-UA"/>
        </w:rPr>
        <w:t xml:space="preserve">50, </w:t>
      </w:r>
      <w:r w:rsidRPr="002F304E">
        <w:rPr>
          <w:szCs w:val="22"/>
          <w:lang w:val="uk-UA"/>
        </w:rPr>
        <w:t>100</w:t>
      </w:r>
      <w:r w:rsidR="00E75510" w:rsidRPr="002F304E">
        <w:rPr>
          <w:szCs w:val="22"/>
          <w:lang w:val="uk-UA"/>
        </w:rPr>
        <w:t xml:space="preserve"> та</w:t>
      </w:r>
      <w:r w:rsidRPr="002F304E">
        <w:rPr>
          <w:szCs w:val="22"/>
          <w:lang w:val="uk-UA"/>
        </w:rPr>
        <w:t xml:space="preserve"> 250 </w:t>
      </w:r>
      <w:r w:rsidRPr="002F304E">
        <w:rPr>
          <w:lang w:val="uk-UA"/>
        </w:rPr>
        <w:t xml:space="preserve">мл, упаковані в картонні коробки. </w:t>
      </w:r>
    </w:p>
    <w:p w14:paraId="206F4E5A" w14:textId="77777777" w:rsidR="00B328E6" w:rsidRPr="002F304E" w:rsidRDefault="00B328E6" w:rsidP="00B328E6">
      <w:pPr>
        <w:widowControl w:val="0"/>
        <w:ind w:firstLine="567"/>
        <w:jc w:val="both"/>
        <w:rPr>
          <w:b/>
          <w:lang w:val="uk-UA"/>
        </w:rPr>
      </w:pPr>
      <w:r w:rsidRPr="002F304E">
        <w:rPr>
          <w:b/>
          <w:lang w:val="uk-UA"/>
        </w:rPr>
        <w:t xml:space="preserve"> 6.5 Особливі заходи безпеки при поводженні з невикористаним препаратом або із його залишками</w:t>
      </w:r>
    </w:p>
    <w:p w14:paraId="691D905C" w14:textId="77777777" w:rsidR="00B328E6" w:rsidRPr="002F304E" w:rsidRDefault="00B328E6" w:rsidP="00B328E6">
      <w:pPr>
        <w:widowControl w:val="0"/>
        <w:ind w:firstLine="567"/>
        <w:jc w:val="both"/>
        <w:rPr>
          <w:lang w:val="uk-UA"/>
        </w:rPr>
      </w:pPr>
      <w:r w:rsidRPr="002F304E">
        <w:rPr>
          <w:spacing w:val="-1"/>
          <w:lang w:val="uk-UA"/>
        </w:rPr>
        <w:t>Порожню упаковку та залишки невикористаного препарату потрібно утилізувати згідно з чинним законодавством.</w:t>
      </w:r>
    </w:p>
    <w:p w14:paraId="2E380612" w14:textId="77777777" w:rsidR="00B328E6" w:rsidRPr="002F304E" w:rsidRDefault="00B328E6" w:rsidP="00B328E6">
      <w:pPr>
        <w:ind w:firstLine="567"/>
        <w:jc w:val="both"/>
        <w:rPr>
          <w:b/>
          <w:lang w:val="uk-UA"/>
        </w:rPr>
      </w:pPr>
      <w:r w:rsidRPr="002F304E">
        <w:rPr>
          <w:b/>
          <w:lang w:val="uk-UA"/>
        </w:rPr>
        <w:t>7. Назва та місцезнаходження власника реєстраційного посвідчення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  <w:gridCol w:w="4960"/>
      </w:tblGrid>
      <w:tr w:rsidR="00B328E6" w:rsidRPr="002F304E" w14:paraId="5D775A99" w14:textId="77777777" w:rsidTr="008C5F65">
        <w:tc>
          <w:tcPr>
            <w:tcW w:w="4960" w:type="dxa"/>
          </w:tcPr>
          <w:p w14:paraId="364DA28D" w14:textId="77777777" w:rsidR="00B328E6" w:rsidRPr="002F304E" w:rsidRDefault="00B328E6" w:rsidP="008C5F65">
            <w:pPr>
              <w:snapToGrid w:val="0"/>
              <w:ind w:firstLine="567"/>
              <w:jc w:val="both"/>
              <w:rPr>
                <w:lang w:val="uk-UA"/>
              </w:rPr>
            </w:pPr>
            <w:r w:rsidRPr="002F304E">
              <w:rPr>
                <w:lang w:val="uk-UA"/>
              </w:rPr>
              <w:t xml:space="preserve">Сева </w:t>
            </w:r>
            <w:proofErr w:type="spellStart"/>
            <w:r w:rsidRPr="002F304E">
              <w:rPr>
                <w:lang w:val="uk-UA"/>
              </w:rPr>
              <w:t>Санте</w:t>
            </w:r>
            <w:proofErr w:type="spellEnd"/>
            <w:r w:rsidRPr="002F304E">
              <w:rPr>
                <w:lang w:val="uk-UA"/>
              </w:rPr>
              <w:t xml:space="preserve"> </w:t>
            </w:r>
            <w:proofErr w:type="spellStart"/>
            <w:r w:rsidRPr="002F304E">
              <w:rPr>
                <w:lang w:val="uk-UA"/>
              </w:rPr>
              <w:t>Анімаль</w:t>
            </w:r>
            <w:proofErr w:type="spellEnd"/>
          </w:p>
          <w:p w14:paraId="5B61D609" w14:textId="3791A09D" w:rsidR="00B328E6" w:rsidRPr="002F304E" w:rsidRDefault="005B2C14" w:rsidP="008C5F65">
            <w:pPr>
              <w:ind w:firstLine="567"/>
              <w:rPr>
                <w:lang w:val="uk-UA"/>
              </w:rPr>
            </w:pPr>
            <w:r w:rsidRPr="002F304E">
              <w:rPr>
                <w:lang w:val="uk-UA"/>
              </w:rPr>
              <w:t xml:space="preserve">8 </w:t>
            </w:r>
            <w:proofErr w:type="spellStart"/>
            <w:r w:rsidRPr="002F304E">
              <w:rPr>
                <w:lang w:val="uk-UA"/>
              </w:rPr>
              <w:t>рю</w:t>
            </w:r>
            <w:proofErr w:type="spellEnd"/>
            <w:r w:rsidRPr="002F304E">
              <w:rPr>
                <w:lang w:val="uk-UA"/>
              </w:rPr>
              <w:t xml:space="preserve"> де </w:t>
            </w:r>
            <w:proofErr w:type="spellStart"/>
            <w:r w:rsidRPr="002F304E">
              <w:rPr>
                <w:lang w:val="uk-UA"/>
              </w:rPr>
              <w:t>Логроньо</w:t>
            </w:r>
            <w:proofErr w:type="spellEnd"/>
          </w:p>
          <w:p w14:paraId="535CF6CD" w14:textId="77777777" w:rsidR="00B328E6" w:rsidRPr="002F304E" w:rsidRDefault="00B328E6" w:rsidP="008C5F65">
            <w:pPr>
              <w:ind w:firstLine="567"/>
              <w:rPr>
                <w:lang w:val="uk-UA"/>
              </w:rPr>
            </w:pPr>
            <w:r w:rsidRPr="002F304E">
              <w:rPr>
                <w:lang w:val="uk-UA"/>
              </w:rPr>
              <w:t xml:space="preserve">33500 </w:t>
            </w:r>
            <w:proofErr w:type="spellStart"/>
            <w:r w:rsidRPr="002F304E">
              <w:rPr>
                <w:lang w:val="uk-UA"/>
              </w:rPr>
              <w:t>Лібурн</w:t>
            </w:r>
            <w:proofErr w:type="spellEnd"/>
            <w:r w:rsidRPr="002F304E">
              <w:rPr>
                <w:lang w:val="uk-UA"/>
              </w:rPr>
              <w:t xml:space="preserve"> </w:t>
            </w:r>
          </w:p>
          <w:p w14:paraId="30750704" w14:textId="77777777" w:rsidR="00B328E6" w:rsidRPr="002F304E" w:rsidRDefault="00B328E6" w:rsidP="008C5F65">
            <w:pPr>
              <w:ind w:firstLine="567"/>
              <w:jc w:val="both"/>
              <w:rPr>
                <w:lang w:val="uk-UA"/>
              </w:rPr>
            </w:pPr>
            <w:r w:rsidRPr="002F304E">
              <w:rPr>
                <w:lang w:val="uk-UA"/>
              </w:rPr>
              <w:t>Франція</w:t>
            </w:r>
          </w:p>
        </w:tc>
        <w:tc>
          <w:tcPr>
            <w:tcW w:w="4960" w:type="dxa"/>
          </w:tcPr>
          <w:p w14:paraId="149AF78D" w14:textId="77777777" w:rsidR="00B328E6" w:rsidRPr="002F304E" w:rsidRDefault="00B328E6" w:rsidP="008C5F65">
            <w:pPr>
              <w:snapToGrid w:val="0"/>
              <w:ind w:firstLine="567"/>
              <w:rPr>
                <w:bCs/>
                <w:lang w:val="uk-UA"/>
              </w:rPr>
            </w:pPr>
            <w:proofErr w:type="spellStart"/>
            <w:r w:rsidRPr="002F304E">
              <w:rPr>
                <w:bCs/>
                <w:lang w:val="uk-UA"/>
              </w:rPr>
              <w:t>Сeva</w:t>
            </w:r>
            <w:proofErr w:type="spellEnd"/>
            <w:r w:rsidRPr="002F304E">
              <w:rPr>
                <w:bCs/>
                <w:lang w:val="uk-UA"/>
              </w:rPr>
              <w:t xml:space="preserve"> </w:t>
            </w:r>
            <w:proofErr w:type="spellStart"/>
            <w:r w:rsidRPr="002F304E">
              <w:rPr>
                <w:bCs/>
                <w:lang w:val="uk-UA"/>
              </w:rPr>
              <w:t>Sante</w:t>
            </w:r>
            <w:proofErr w:type="spellEnd"/>
            <w:r w:rsidRPr="002F304E">
              <w:rPr>
                <w:bCs/>
                <w:lang w:val="uk-UA"/>
              </w:rPr>
              <w:t xml:space="preserve"> </w:t>
            </w:r>
            <w:proofErr w:type="spellStart"/>
            <w:r w:rsidRPr="002F304E">
              <w:rPr>
                <w:bCs/>
                <w:lang w:val="uk-UA"/>
              </w:rPr>
              <w:t>Animale</w:t>
            </w:r>
            <w:proofErr w:type="spellEnd"/>
          </w:p>
          <w:p w14:paraId="1817A08F" w14:textId="61AEA7F6" w:rsidR="00B328E6" w:rsidRPr="002F304E" w:rsidRDefault="005B2C14" w:rsidP="008C5F65">
            <w:pPr>
              <w:pStyle w:val="a8"/>
              <w:snapToGrid w:val="0"/>
              <w:ind w:firstLine="567"/>
              <w:rPr>
                <w:lang w:val="uk-UA"/>
              </w:rPr>
            </w:pPr>
            <w:r w:rsidRPr="002F304E">
              <w:rPr>
                <w:lang w:val="en-US"/>
              </w:rPr>
              <w:t>8 rue de Logrono</w:t>
            </w:r>
            <w:r w:rsidR="00B328E6" w:rsidRPr="002F304E">
              <w:rPr>
                <w:lang w:val="uk-UA"/>
              </w:rPr>
              <w:br/>
              <w:t xml:space="preserve">          33500 </w:t>
            </w:r>
            <w:proofErr w:type="spellStart"/>
            <w:r w:rsidR="00B328E6" w:rsidRPr="002F304E">
              <w:rPr>
                <w:lang w:val="uk-UA"/>
              </w:rPr>
              <w:t>Libourne</w:t>
            </w:r>
            <w:proofErr w:type="spellEnd"/>
            <w:r w:rsidR="00B328E6" w:rsidRPr="002F304E">
              <w:rPr>
                <w:lang w:val="uk-UA"/>
              </w:rPr>
              <w:br/>
              <w:t xml:space="preserve">          </w:t>
            </w:r>
            <w:proofErr w:type="spellStart"/>
            <w:r w:rsidR="00B328E6" w:rsidRPr="002F304E">
              <w:rPr>
                <w:lang w:val="uk-UA"/>
              </w:rPr>
              <w:t>France</w:t>
            </w:r>
            <w:proofErr w:type="spellEnd"/>
          </w:p>
        </w:tc>
      </w:tr>
    </w:tbl>
    <w:p w14:paraId="46DB98D1" w14:textId="77777777" w:rsidR="00B328E6" w:rsidRPr="002F304E" w:rsidRDefault="00B328E6" w:rsidP="00B328E6">
      <w:pPr>
        <w:pStyle w:val="31"/>
        <w:tabs>
          <w:tab w:val="left" w:pos="2340"/>
        </w:tabs>
        <w:ind w:firstLine="567"/>
        <w:rPr>
          <w:szCs w:val="24"/>
        </w:rPr>
      </w:pPr>
      <w:r w:rsidRPr="002F304E">
        <w:rPr>
          <w:szCs w:val="24"/>
        </w:rPr>
        <w:t>8. Назва та місцезнаходження виробник</w:t>
      </w:r>
      <w:r w:rsidR="000060F7" w:rsidRPr="002F304E">
        <w:rPr>
          <w:szCs w:val="24"/>
        </w:rPr>
        <w:t>ів</w:t>
      </w:r>
      <w:r w:rsidRPr="002F304E">
        <w:rPr>
          <w:szCs w:val="24"/>
        </w:rPr>
        <w:t xml:space="preserve"> готового продукту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  <w:gridCol w:w="4960"/>
      </w:tblGrid>
      <w:tr w:rsidR="000060F7" w:rsidRPr="002F304E" w14:paraId="74DBA2DF" w14:textId="77777777" w:rsidTr="008C5F65">
        <w:tc>
          <w:tcPr>
            <w:tcW w:w="4960" w:type="dxa"/>
          </w:tcPr>
          <w:p w14:paraId="71825FB7" w14:textId="77777777" w:rsidR="000060F7" w:rsidRPr="002F304E" w:rsidRDefault="000060F7" w:rsidP="000060F7">
            <w:pPr>
              <w:ind w:left="567" w:right="247"/>
            </w:pPr>
            <w:r w:rsidRPr="002F304E">
              <w:t xml:space="preserve">Сева </w:t>
            </w:r>
            <w:proofErr w:type="spellStart"/>
            <w:r w:rsidRPr="002F304E">
              <w:t>Санте</w:t>
            </w:r>
            <w:proofErr w:type="spellEnd"/>
            <w:r w:rsidRPr="002F304E">
              <w:t xml:space="preserve"> </w:t>
            </w:r>
            <w:proofErr w:type="spellStart"/>
            <w:r w:rsidRPr="002F304E">
              <w:t>Анімаль</w:t>
            </w:r>
            <w:proofErr w:type="spellEnd"/>
            <w:r w:rsidRPr="002F304E">
              <w:t xml:space="preserve"> </w:t>
            </w:r>
          </w:p>
          <w:p w14:paraId="319EEEDC" w14:textId="77777777" w:rsidR="000060F7" w:rsidRPr="002F304E" w:rsidRDefault="000060F7" w:rsidP="000060F7">
            <w:pPr>
              <w:ind w:left="567" w:right="247"/>
            </w:pPr>
            <w:r w:rsidRPr="002F304E">
              <w:t xml:space="preserve">10 авеню де ла </w:t>
            </w:r>
            <w:proofErr w:type="spellStart"/>
            <w:r w:rsidRPr="002F304E">
              <w:t>балластіере</w:t>
            </w:r>
            <w:proofErr w:type="spellEnd"/>
            <w:r w:rsidRPr="002F304E">
              <w:t xml:space="preserve">, 33500 </w:t>
            </w:r>
            <w:proofErr w:type="spellStart"/>
            <w:r w:rsidRPr="002F304E">
              <w:t>Лібурн</w:t>
            </w:r>
            <w:proofErr w:type="spellEnd"/>
            <w:r w:rsidRPr="002F304E">
              <w:t>,</w:t>
            </w:r>
          </w:p>
          <w:p w14:paraId="393E3FAB" w14:textId="77777777" w:rsidR="000060F7" w:rsidRPr="002F304E" w:rsidRDefault="000060F7" w:rsidP="000060F7">
            <w:pPr>
              <w:ind w:left="567" w:right="247"/>
              <w:rPr>
                <w:lang w:val="uk-UA"/>
              </w:rPr>
            </w:pPr>
            <w:proofErr w:type="spellStart"/>
            <w:r w:rsidRPr="002F304E">
              <w:t>Франція</w:t>
            </w:r>
            <w:proofErr w:type="spellEnd"/>
          </w:p>
          <w:p w14:paraId="167E2FCA" w14:textId="77777777" w:rsidR="000060F7" w:rsidRPr="002F304E" w:rsidRDefault="000060F7" w:rsidP="000060F7">
            <w:pPr>
              <w:ind w:left="567" w:right="247"/>
            </w:pPr>
            <w:proofErr w:type="spellStart"/>
            <w:r w:rsidRPr="002F304E">
              <w:t>Ветем</w:t>
            </w:r>
            <w:proofErr w:type="spellEnd"/>
            <w:r w:rsidRPr="002F304E">
              <w:t xml:space="preserve"> </w:t>
            </w:r>
            <w:proofErr w:type="spellStart"/>
            <w:r w:rsidRPr="002F304E">
              <w:t>С.п.A</w:t>
            </w:r>
            <w:proofErr w:type="spellEnd"/>
            <w:r w:rsidRPr="002F304E">
              <w:t>.</w:t>
            </w:r>
          </w:p>
          <w:p w14:paraId="01FC2484" w14:textId="77777777" w:rsidR="000060F7" w:rsidRPr="002F304E" w:rsidRDefault="000060F7" w:rsidP="000060F7">
            <w:pPr>
              <w:ind w:left="567" w:right="247"/>
            </w:pPr>
            <w:proofErr w:type="spellStart"/>
            <w:r w:rsidRPr="002F304E">
              <w:t>Лунгомаре</w:t>
            </w:r>
            <w:proofErr w:type="spellEnd"/>
            <w:r w:rsidRPr="002F304E">
              <w:t xml:space="preserve"> </w:t>
            </w:r>
            <w:proofErr w:type="spellStart"/>
            <w:r w:rsidRPr="002F304E">
              <w:t>Піранделло</w:t>
            </w:r>
            <w:proofErr w:type="spellEnd"/>
            <w:r w:rsidRPr="002F304E">
              <w:t xml:space="preserve"> 8</w:t>
            </w:r>
          </w:p>
          <w:p w14:paraId="41117E0C" w14:textId="77777777" w:rsidR="000060F7" w:rsidRPr="002F304E" w:rsidRDefault="000060F7" w:rsidP="000060F7">
            <w:pPr>
              <w:ind w:left="567" w:right="247"/>
            </w:pPr>
            <w:r w:rsidRPr="002F304E">
              <w:t xml:space="preserve">92014 Порто </w:t>
            </w:r>
            <w:proofErr w:type="spellStart"/>
            <w:r w:rsidRPr="002F304E">
              <w:t>Емпедокле</w:t>
            </w:r>
            <w:proofErr w:type="spellEnd"/>
          </w:p>
          <w:p w14:paraId="571D5EA3" w14:textId="77777777" w:rsidR="000060F7" w:rsidRPr="002F304E" w:rsidRDefault="000060F7" w:rsidP="000060F7">
            <w:pPr>
              <w:ind w:left="567" w:right="247"/>
            </w:pPr>
            <w:proofErr w:type="spellStart"/>
            <w:r w:rsidRPr="002F304E">
              <w:t>Італія</w:t>
            </w:r>
            <w:proofErr w:type="spellEnd"/>
          </w:p>
          <w:p w14:paraId="1CC4809D" w14:textId="77777777" w:rsidR="000060F7" w:rsidRPr="002F304E" w:rsidRDefault="000060F7" w:rsidP="000060F7">
            <w:pPr>
              <w:ind w:left="567" w:firstLine="567"/>
              <w:jc w:val="both"/>
              <w:rPr>
                <w:lang w:val="uk-UA"/>
              </w:rPr>
            </w:pPr>
          </w:p>
        </w:tc>
        <w:tc>
          <w:tcPr>
            <w:tcW w:w="4960" w:type="dxa"/>
          </w:tcPr>
          <w:p w14:paraId="3986C201" w14:textId="77777777" w:rsidR="000060F7" w:rsidRPr="002F304E" w:rsidRDefault="000060F7" w:rsidP="000060F7">
            <w:pPr>
              <w:ind w:left="567" w:right="247"/>
              <w:rPr>
                <w:lang w:val="it-IT"/>
              </w:rPr>
            </w:pPr>
            <w:r w:rsidRPr="002F304E">
              <w:rPr>
                <w:lang w:val="it-IT"/>
              </w:rPr>
              <w:t>Ceva Sante Animale</w:t>
            </w:r>
          </w:p>
          <w:p w14:paraId="01CD7855" w14:textId="77777777" w:rsidR="000060F7" w:rsidRPr="002F304E" w:rsidRDefault="000060F7" w:rsidP="000060F7">
            <w:pPr>
              <w:ind w:left="567" w:right="247"/>
              <w:rPr>
                <w:lang w:val="it-IT"/>
              </w:rPr>
            </w:pPr>
            <w:r w:rsidRPr="002F304E">
              <w:rPr>
                <w:lang w:val="it-IT"/>
              </w:rPr>
              <w:t>10 avenue de la ballastiere, 33500 Libourne,</w:t>
            </w:r>
          </w:p>
          <w:p w14:paraId="428E11CC" w14:textId="77777777" w:rsidR="000060F7" w:rsidRPr="002F304E" w:rsidRDefault="000060F7" w:rsidP="000060F7">
            <w:pPr>
              <w:ind w:left="567" w:right="247"/>
              <w:rPr>
                <w:lang w:val="uk-UA"/>
              </w:rPr>
            </w:pPr>
            <w:r w:rsidRPr="002F304E">
              <w:rPr>
                <w:lang w:val="it-IT"/>
              </w:rPr>
              <w:t>France</w:t>
            </w:r>
          </w:p>
          <w:p w14:paraId="3D11808D" w14:textId="77777777" w:rsidR="000060F7" w:rsidRPr="002F304E" w:rsidRDefault="000060F7" w:rsidP="000060F7">
            <w:pPr>
              <w:ind w:left="567" w:right="247"/>
              <w:rPr>
                <w:lang w:val="it-IT"/>
              </w:rPr>
            </w:pPr>
            <w:r w:rsidRPr="002F304E">
              <w:rPr>
                <w:lang w:val="it-IT"/>
              </w:rPr>
              <w:t xml:space="preserve">Vetem S.p.A. </w:t>
            </w:r>
          </w:p>
          <w:p w14:paraId="637D6F39" w14:textId="77777777" w:rsidR="000060F7" w:rsidRPr="002F304E" w:rsidRDefault="000060F7" w:rsidP="000060F7">
            <w:pPr>
              <w:ind w:left="567" w:right="247"/>
              <w:rPr>
                <w:lang w:val="it-IT"/>
              </w:rPr>
            </w:pPr>
            <w:r w:rsidRPr="002F304E">
              <w:rPr>
                <w:lang w:val="it-IT"/>
              </w:rPr>
              <w:t>Lungomare Pirandello 8</w:t>
            </w:r>
          </w:p>
          <w:p w14:paraId="5E20BAEB" w14:textId="77777777" w:rsidR="000060F7" w:rsidRPr="002F304E" w:rsidRDefault="000060F7" w:rsidP="000060F7">
            <w:pPr>
              <w:ind w:left="567" w:right="247"/>
              <w:rPr>
                <w:lang w:val="en-US"/>
              </w:rPr>
            </w:pPr>
            <w:r w:rsidRPr="002F304E">
              <w:rPr>
                <w:lang w:val="en-US"/>
              </w:rPr>
              <w:t xml:space="preserve">92014 Porto </w:t>
            </w:r>
            <w:proofErr w:type="spellStart"/>
            <w:r w:rsidRPr="002F304E">
              <w:rPr>
                <w:lang w:val="en-US"/>
              </w:rPr>
              <w:t>Empedocle</w:t>
            </w:r>
            <w:proofErr w:type="spellEnd"/>
          </w:p>
          <w:p w14:paraId="28AFA1B7" w14:textId="77777777" w:rsidR="000060F7" w:rsidRPr="002F304E" w:rsidRDefault="000060F7" w:rsidP="000060F7">
            <w:pPr>
              <w:pStyle w:val="a8"/>
              <w:snapToGrid w:val="0"/>
              <w:ind w:left="567"/>
              <w:rPr>
                <w:lang w:val="uk-UA"/>
              </w:rPr>
            </w:pPr>
            <w:r w:rsidRPr="002F304E">
              <w:rPr>
                <w:lang w:val="en-US"/>
              </w:rPr>
              <w:t>Italy</w:t>
            </w:r>
          </w:p>
        </w:tc>
      </w:tr>
    </w:tbl>
    <w:p w14:paraId="29044A76" w14:textId="77777777" w:rsidR="00B328E6" w:rsidRPr="00C30403" w:rsidRDefault="00B328E6" w:rsidP="00B328E6">
      <w:pPr>
        <w:widowControl w:val="0"/>
        <w:tabs>
          <w:tab w:val="left" w:pos="2340"/>
        </w:tabs>
        <w:ind w:firstLine="567"/>
        <w:jc w:val="both"/>
        <w:rPr>
          <w:lang w:val="uk-UA"/>
        </w:rPr>
      </w:pPr>
      <w:r w:rsidRPr="002F304E">
        <w:rPr>
          <w:b/>
          <w:lang w:val="uk-UA"/>
        </w:rPr>
        <w:t>9. Додаткова інформація</w:t>
      </w:r>
      <w:bookmarkStart w:id="0" w:name="_GoBack"/>
      <w:bookmarkEnd w:id="0"/>
    </w:p>
    <w:p w14:paraId="24A957AD" w14:textId="77777777" w:rsidR="00945451" w:rsidRPr="00C30403" w:rsidRDefault="00945451" w:rsidP="00B328E6">
      <w:pPr>
        <w:rPr>
          <w:lang w:val="uk-UA"/>
        </w:rPr>
      </w:pPr>
    </w:p>
    <w:sectPr w:rsidR="00945451" w:rsidRPr="00C30403" w:rsidSect="00086D11">
      <w:footerReference w:type="default" r:id="rId8"/>
      <w:footnotePr>
        <w:pos w:val="beneathText"/>
      </w:footnotePr>
      <w:pgSz w:w="11905" w:h="16837"/>
      <w:pgMar w:top="851" w:right="454" w:bottom="45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12A537" w14:textId="77777777" w:rsidR="00ED7E73" w:rsidRDefault="00ED7E73">
      <w:r>
        <w:separator/>
      </w:r>
    </w:p>
  </w:endnote>
  <w:endnote w:type="continuationSeparator" w:id="0">
    <w:p w14:paraId="31FF459F" w14:textId="77777777" w:rsidR="00ED7E73" w:rsidRDefault="00ED7E73">
      <w:r>
        <w:continuationSeparator/>
      </w:r>
    </w:p>
  </w:endnote>
  <w:endnote w:type="continuationNotice" w:id="1">
    <w:p w14:paraId="1794D8E2" w14:textId="77777777" w:rsidR="00ED7E73" w:rsidRDefault="00ED7E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90ED4" w14:textId="77777777" w:rsidR="000E5500" w:rsidRDefault="000E550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BC40A4">
      <w:rPr>
        <w:noProof/>
      </w:rPr>
      <w:t>1</w:t>
    </w:r>
    <w:r>
      <w:fldChar w:fldCharType="end"/>
    </w:r>
  </w:p>
  <w:p w14:paraId="0A5A89C6" w14:textId="77777777" w:rsidR="000E5500" w:rsidRDefault="000E5500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105B8B" w14:textId="77777777" w:rsidR="00ED7E73" w:rsidRDefault="00ED7E73">
      <w:r>
        <w:separator/>
      </w:r>
    </w:p>
  </w:footnote>
  <w:footnote w:type="continuationSeparator" w:id="0">
    <w:p w14:paraId="3BEB0A00" w14:textId="77777777" w:rsidR="00ED7E73" w:rsidRDefault="00ED7E73">
      <w:r>
        <w:continuationSeparator/>
      </w:r>
    </w:p>
  </w:footnote>
  <w:footnote w:type="continuationNotice" w:id="1">
    <w:p w14:paraId="5BCA5D81" w14:textId="77777777" w:rsidR="00ED7E73" w:rsidRDefault="00ED7E7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311"/>
    <w:rsid w:val="000060F7"/>
    <w:rsid w:val="00031FD5"/>
    <w:rsid w:val="00052C45"/>
    <w:rsid w:val="00086601"/>
    <w:rsid w:val="00086D11"/>
    <w:rsid w:val="0009071A"/>
    <w:rsid w:val="000958CC"/>
    <w:rsid w:val="000965EF"/>
    <w:rsid w:val="00097B43"/>
    <w:rsid w:val="000B3F8A"/>
    <w:rsid w:val="000D203C"/>
    <w:rsid w:val="000E5500"/>
    <w:rsid w:val="000F2B39"/>
    <w:rsid w:val="00121B8A"/>
    <w:rsid w:val="0015364C"/>
    <w:rsid w:val="0016526F"/>
    <w:rsid w:val="00174209"/>
    <w:rsid w:val="001A526B"/>
    <w:rsid w:val="001C21E0"/>
    <w:rsid w:val="001F1A9B"/>
    <w:rsid w:val="00220447"/>
    <w:rsid w:val="0022258B"/>
    <w:rsid w:val="002606D4"/>
    <w:rsid w:val="00262EB0"/>
    <w:rsid w:val="00290FED"/>
    <w:rsid w:val="002B412F"/>
    <w:rsid w:val="002B721B"/>
    <w:rsid w:val="002E5E66"/>
    <w:rsid w:val="002F304E"/>
    <w:rsid w:val="002F76D0"/>
    <w:rsid w:val="00311788"/>
    <w:rsid w:val="00312713"/>
    <w:rsid w:val="0036162A"/>
    <w:rsid w:val="00362C56"/>
    <w:rsid w:val="00377E7E"/>
    <w:rsid w:val="00393FBD"/>
    <w:rsid w:val="003C0A6B"/>
    <w:rsid w:val="003C6379"/>
    <w:rsid w:val="003F2DF0"/>
    <w:rsid w:val="003F71C8"/>
    <w:rsid w:val="00437E41"/>
    <w:rsid w:val="004570BB"/>
    <w:rsid w:val="00460F5B"/>
    <w:rsid w:val="004B4D20"/>
    <w:rsid w:val="004B69EA"/>
    <w:rsid w:val="004C69BF"/>
    <w:rsid w:val="004D3EB5"/>
    <w:rsid w:val="005408DB"/>
    <w:rsid w:val="00542109"/>
    <w:rsid w:val="0057655F"/>
    <w:rsid w:val="005B2C14"/>
    <w:rsid w:val="005F0F22"/>
    <w:rsid w:val="006742C0"/>
    <w:rsid w:val="00684E2C"/>
    <w:rsid w:val="006B453D"/>
    <w:rsid w:val="006E7538"/>
    <w:rsid w:val="007126B0"/>
    <w:rsid w:val="007410E5"/>
    <w:rsid w:val="00761E8A"/>
    <w:rsid w:val="00764CA3"/>
    <w:rsid w:val="00791C5B"/>
    <w:rsid w:val="00792BCC"/>
    <w:rsid w:val="007B64FD"/>
    <w:rsid w:val="007E4427"/>
    <w:rsid w:val="0080338D"/>
    <w:rsid w:val="00815E5F"/>
    <w:rsid w:val="008318BE"/>
    <w:rsid w:val="0086157B"/>
    <w:rsid w:val="00865B5F"/>
    <w:rsid w:val="00894EC9"/>
    <w:rsid w:val="00897010"/>
    <w:rsid w:val="008B69A3"/>
    <w:rsid w:val="008B779B"/>
    <w:rsid w:val="008C5F65"/>
    <w:rsid w:val="008D39D1"/>
    <w:rsid w:val="00902B7E"/>
    <w:rsid w:val="009042D1"/>
    <w:rsid w:val="0092338F"/>
    <w:rsid w:val="00941B00"/>
    <w:rsid w:val="00945451"/>
    <w:rsid w:val="00947298"/>
    <w:rsid w:val="009640EF"/>
    <w:rsid w:val="009A7AF2"/>
    <w:rsid w:val="009C4A9D"/>
    <w:rsid w:val="00A0165B"/>
    <w:rsid w:val="00A32CC4"/>
    <w:rsid w:val="00A346FC"/>
    <w:rsid w:val="00A67137"/>
    <w:rsid w:val="00A74D90"/>
    <w:rsid w:val="00A9376A"/>
    <w:rsid w:val="00AA1654"/>
    <w:rsid w:val="00AB09F1"/>
    <w:rsid w:val="00AB36DB"/>
    <w:rsid w:val="00AF245E"/>
    <w:rsid w:val="00B328E6"/>
    <w:rsid w:val="00B97121"/>
    <w:rsid w:val="00BA002A"/>
    <w:rsid w:val="00BA1959"/>
    <w:rsid w:val="00BC40A4"/>
    <w:rsid w:val="00BD7B98"/>
    <w:rsid w:val="00BF205F"/>
    <w:rsid w:val="00C30403"/>
    <w:rsid w:val="00C338DE"/>
    <w:rsid w:val="00C3776F"/>
    <w:rsid w:val="00C66F79"/>
    <w:rsid w:val="00C85FE0"/>
    <w:rsid w:val="00C92F06"/>
    <w:rsid w:val="00CB3AAB"/>
    <w:rsid w:val="00CD55E1"/>
    <w:rsid w:val="00CF4259"/>
    <w:rsid w:val="00CF7EF6"/>
    <w:rsid w:val="00D10765"/>
    <w:rsid w:val="00D42AC3"/>
    <w:rsid w:val="00D578F1"/>
    <w:rsid w:val="00D73B33"/>
    <w:rsid w:val="00D81311"/>
    <w:rsid w:val="00D86C3B"/>
    <w:rsid w:val="00DB3771"/>
    <w:rsid w:val="00DC7CAD"/>
    <w:rsid w:val="00E15096"/>
    <w:rsid w:val="00E16D3A"/>
    <w:rsid w:val="00E30FCC"/>
    <w:rsid w:val="00E75510"/>
    <w:rsid w:val="00E8067A"/>
    <w:rsid w:val="00E80E9C"/>
    <w:rsid w:val="00ED7E73"/>
    <w:rsid w:val="00EF64EC"/>
    <w:rsid w:val="00F13671"/>
    <w:rsid w:val="00F14571"/>
    <w:rsid w:val="00FA09BD"/>
    <w:rsid w:val="00FD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255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Samp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E7538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  <w:semiHidden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1">
    <w:name w:val="Назва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a7">
    <w:name w:val="Покажчик"/>
    <w:basedOn w:val="a"/>
    <w:pPr>
      <w:suppressLineNumbers/>
    </w:pPr>
    <w:rPr>
      <w:rFonts w:cs="Tahoma"/>
    </w:rPr>
  </w:style>
  <w:style w:type="paragraph" w:customStyle="1" w:styleId="31">
    <w:name w:val="Основной текст с отступом 31"/>
    <w:basedOn w:val="a"/>
    <w:pPr>
      <w:widowControl w:val="0"/>
      <w:ind w:firstLine="720"/>
      <w:jc w:val="both"/>
    </w:pPr>
    <w:rPr>
      <w:b/>
      <w:szCs w:val="20"/>
      <w:lang w:val="uk-UA"/>
    </w:rPr>
  </w:style>
  <w:style w:type="paragraph" w:customStyle="1" w:styleId="a8">
    <w:name w:val="Вміст таблиці"/>
    <w:basedOn w:val="a"/>
    <w:pPr>
      <w:suppressLineNumbers/>
    </w:p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customStyle="1" w:styleId="Style2">
    <w:name w:val="Style2"/>
    <w:basedOn w:val="a"/>
    <w:pPr>
      <w:widowControl w:val="0"/>
      <w:autoSpaceDE w:val="0"/>
    </w:pPr>
  </w:style>
  <w:style w:type="paragraph" w:customStyle="1" w:styleId="bekezdes">
    <w:name w:val="bekezdes"/>
    <w:basedOn w:val="a"/>
    <w:pPr>
      <w:suppressAutoHyphens w:val="0"/>
      <w:ind w:left="284"/>
    </w:pPr>
    <w:rPr>
      <w:b/>
      <w:szCs w:val="20"/>
      <w:lang w:val="en-GB"/>
    </w:rPr>
  </w:style>
  <w:style w:type="paragraph" w:customStyle="1" w:styleId="12">
    <w:name w:val="Звичайний1"/>
    <w:pPr>
      <w:widowControl w:val="0"/>
      <w:suppressAutoHyphens/>
    </w:pPr>
    <w:rPr>
      <w:rFonts w:eastAsia="Arial"/>
      <w:lang w:val="ru-RU" w:eastAsia="ar-SA"/>
    </w:rPr>
  </w:style>
  <w:style w:type="paragraph" w:customStyle="1" w:styleId="ab">
    <w:name w:val="Заголовок таблиці"/>
    <w:basedOn w:val="a8"/>
    <w:pPr>
      <w:jc w:val="center"/>
    </w:pPr>
    <w:rPr>
      <w:b/>
      <w:bCs/>
    </w:rPr>
  </w:style>
  <w:style w:type="paragraph" w:customStyle="1" w:styleId="ac">
    <w:name w:val="Вміст кадру"/>
    <w:basedOn w:val="a5"/>
  </w:style>
  <w:style w:type="paragraph" w:customStyle="1" w:styleId="ad">
    <w:basedOn w:val="a"/>
    <w:rsid w:val="006E7538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1C21E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C21E0"/>
    <w:rPr>
      <w:rFonts w:ascii="Tahoma" w:hAnsi="Tahoma" w:cs="Tahoma"/>
      <w:sz w:val="16"/>
      <w:szCs w:val="16"/>
      <w:lang w:eastAsia="ar-SA"/>
    </w:rPr>
  </w:style>
  <w:style w:type="paragraph" w:styleId="af0">
    <w:name w:val="header"/>
    <w:basedOn w:val="a"/>
    <w:link w:val="af1"/>
    <w:uiPriority w:val="99"/>
    <w:unhideWhenUsed/>
    <w:rsid w:val="009C4A9D"/>
    <w:pPr>
      <w:tabs>
        <w:tab w:val="center" w:pos="4819"/>
        <w:tab w:val="right" w:pos="9639"/>
      </w:tabs>
    </w:pPr>
  </w:style>
  <w:style w:type="character" w:customStyle="1" w:styleId="af1">
    <w:name w:val="Верхний колонтитул Знак"/>
    <w:link w:val="af0"/>
    <w:uiPriority w:val="99"/>
    <w:rsid w:val="009C4A9D"/>
    <w:rPr>
      <w:sz w:val="24"/>
      <w:szCs w:val="24"/>
      <w:lang w:val="ru-RU" w:eastAsia="ar-SA"/>
    </w:rPr>
  </w:style>
  <w:style w:type="character" w:customStyle="1" w:styleId="aa">
    <w:name w:val="Нижний колонтитул Знак"/>
    <w:link w:val="a9"/>
    <w:uiPriority w:val="99"/>
    <w:rsid w:val="009C4A9D"/>
    <w:rPr>
      <w:sz w:val="24"/>
      <w:szCs w:val="24"/>
      <w:lang w:val="ru-RU" w:eastAsia="ar-SA"/>
    </w:rPr>
  </w:style>
  <w:style w:type="character" w:styleId="HTML">
    <w:name w:val="HTML Sample"/>
    <w:semiHidden/>
    <w:unhideWhenUsed/>
    <w:rsid w:val="00086D11"/>
    <w:rPr>
      <w:rFonts w:ascii="Courier New" w:eastAsia="Times New Roman" w:hAnsi="Courier New" w:cs="Courier New" w:hint="default"/>
    </w:rPr>
  </w:style>
  <w:style w:type="paragraph" w:styleId="3">
    <w:name w:val="Body Text Indent 3"/>
    <w:basedOn w:val="a"/>
    <w:link w:val="30"/>
    <w:semiHidden/>
    <w:unhideWhenUsed/>
    <w:rsid w:val="000060F7"/>
    <w:pPr>
      <w:widowControl w:val="0"/>
      <w:suppressAutoHyphens w:val="0"/>
      <w:snapToGrid w:val="0"/>
      <w:ind w:firstLine="851"/>
      <w:jc w:val="both"/>
    </w:pPr>
    <w:rPr>
      <w:snapToGrid w:val="0"/>
      <w:sz w:val="28"/>
      <w:szCs w:val="20"/>
      <w:lang w:val="x-none" w:eastAsia="ru-RU"/>
    </w:rPr>
  </w:style>
  <w:style w:type="character" w:customStyle="1" w:styleId="30">
    <w:name w:val="Основной текст с отступом 3 Знак"/>
    <w:link w:val="3"/>
    <w:semiHidden/>
    <w:rsid w:val="000060F7"/>
    <w:rPr>
      <w:snapToGrid w:val="0"/>
      <w:sz w:val="28"/>
      <w:lang w:val="x-none" w:eastAsia="ru-RU"/>
    </w:rPr>
  </w:style>
  <w:style w:type="paragraph" w:styleId="af2">
    <w:name w:val="Revision"/>
    <w:hidden/>
    <w:uiPriority w:val="99"/>
    <w:semiHidden/>
    <w:rsid w:val="006742C0"/>
    <w:rPr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Samp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E7538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  <w:semiHidden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1">
    <w:name w:val="Назва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a7">
    <w:name w:val="Покажчик"/>
    <w:basedOn w:val="a"/>
    <w:pPr>
      <w:suppressLineNumbers/>
    </w:pPr>
    <w:rPr>
      <w:rFonts w:cs="Tahoma"/>
    </w:rPr>
  </w:style>
  <w:style w:type="paragraph" w:customStyle="1" w:styleId="31">
    <w:name w:val="Основной текст с отступом 31"/>
    <w:basedOn w:val="a"/>
    <w:pPr>
      <w:widowControl w:val="0"/>
      <w:ind w:firstLine="720"/>
      <w:jc w:val="both"/>
    </w:pPr>
    <w:rPr>
      <w:b/>
      <w:szCs w:val="20"/>
      <w:lang w:val="uk-UA"/>
    </w:rPr>
  </w:style>
  <w:style w:type="paragraph" w:customStyle="1" w:styleId="a8">
    <w:name w:val="Вміст таблиці"/>
    <w:basedOn w:val="a"/>
    <w:pPr>
      <w:suppressLineNumbers/>
    </w:p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customStyle="1" w:styleId="Style2">
    <w:name w:val="Style2"/>
    <w:basedOn w:val="a"/>
    <w:pPr>
      <w:widowControl w:val="0"/>
      <w:autoSpaceDE w:val="0"/>
    </w:pPr>
  </w:style>
  <w:style w:type="paragraph" w:customStyle="1" w:styleId="bekezdes">
    <w:name w:val="bekezdes"/>
    <w:basedOn w:val="a"/>
    <w:pPr>
      <w:suppressAutoHyphens w:val="0"/>
      <w:ind w:left="284"/>
    </w:pPr>
    <w:rPr>
      <w:b/>
      <w:szCs w:val="20"/>
      <w:lang w:val="en-GB"/>
    </w:rPr>
  </w:style>
  <w:style w:type="paragraph" w:customStyle="1" w:styleId="12">
    <w:name w:val="Звичайний1"/>
    <w:pPr>
      <w:widowControl w:val="0"/>
      <w:suppressAutoHyphens/>
    </w:pPr>
    <w:rPr>
      <w:rFonts w:eastAsia="Arial"/>
      <w:lang w:val="ru-RU" w:eastAsia="ar-SA"/>
    </w:rPr>
  </w:style>
  <w:style w:type="paragraph" w:customStyle="1" w:styleId="ab">
    <w:name w:val="Заголовок таблиці"/>
    <w:basedOn w:val="a8"/>
    <w:pPr>
      <w:jc w:val="center"/>
    </w:pPr>
    <w:rPr>
      <w:b/>
      <w:bCs/>
    </w:rPr>
  </w:style>
  <w:style w:type="paragraph" w:customStyle="1" w:styleId="ac">
    <w:name w:val="Вміст кадру"/>
    <w:basedOn w:val="a5"/>
  </w:style>
  <w:style w:type="paragraph" w:customStyle="1" w:styleId="ad">
    <w:basedOn w:val="a"/>
    <w:rsid w:val="006E7538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1C21E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C21E0"/>
    <w:rPr>
      <w:rFonts w:ascii="Tahoma" w:hAnsi="Tahoma" w:cs="Tahoma"/>
      <w:sz w:val="16"/>
      <w:szCs w:val="16"/>
      <w:lang w:eastAsia="ar-SA"/>
    </w:rPr>
  </w:style>
  <w:style w:type="paragraph" w:styleId="af0">
    <w:name w:val="header"/>
    <w:basedOn w:val="a"/>
    <w:link w:val="af1"/>
    <w:uiPriority w:val="99"/>
    <w:unhideWhenUsed/>
    <w:rsid w:val="009C4A9D"/>
    <w:pPr>
      <w:tabs>
        <w:tab w:val="center" w:pos="4819"/>
        <w:tab w:val="right" w:pos="9639"/>
      </w:tabs>
    </w:pPr>
  </w:style>
  <w:style w:type="character" w:customStyle="1" w:styleId="af1">
    <w:name w:val="Верхний колонтитул Знак"/>
    <w:link w:val="af0"/>
    <w:uiPriority w:val="99"/>
    <w:rsid w:val="009C4A9D"/>
    <w:rPr>
      <w:sz w:val="24"/>
      <w:szCs w:val="24"/>
      <w:lang w:val="ru-RU" w:eastAsia="ar-SA"/>
    </w:rPr>
  </w:style>
  <w:style w:type="character" w:customStyle="1" w:styleId="aa">
    <w:name w:val="Нижний колонтитул Знак"/>
    <w:link w:val="a9"/>
    <w:uiPriority w:val="99"/>
    <w:rsid w:val="009C4A9D"/>
    <w:rPr>
      <w:sz w:val="24"/>
      <w:szCs w:val="24"/>
      <w:lang w:val="ru-RU" w:eastAsia="ar-SA"/>
    </w:rPr>
  </w:style>
  <w:style w:type="character" w:styleId="HTML">
    <w:name w:val="HTML Sample"/>
    <w:semiHidden/>
    <w:unhideWhenUsed/>
    <w:rsid w:val="00086D11"/>
    <w:rPr>
      <w:rFonts w:ascii="Courier New" w:eastAsia="Times New Roman" w:hAnsi="Courier New" w:cs="Courier New" w:hint="default"/>
    </w:rPr>
  </w:style>
  <w:style w:type="paragraph" w:styleId="3">
    <w:name w:val="Body Text Indent 3"/>
    <w:basedOn w:val="a"/>
    <w:link w:val="30"/>
    <w:semiHidden/>
    <w:unhideWhenUsed/>
    <w:rsid w:val="000060F7"/>
    <w:pPr>
      <w:widowControl w:val="0"/>
      <w:suppressAutoHyphens w:val="0"/>
      <w:snapToGrid w:val="0"/>
      <w:ind w:firstLine="851"/>
      <w:jc w:val="both"/>
    </w:pPr>
    <w:rPr>
      <w:snapToGrid w:val="0"/>
      <w:sz w:val="28"/>
      <w:szCs w:val="20"/>
      <w:lang w:val="x-none" w:eastAsia="ru-RU"/>
    </w:rPr>
  </w:style>
  <w:style w:type="character" w:customStyle="1" w:styleId="30">
    <w:name w:val="Основной текст с отступом 3 Знак"/>
    <w:link w:val="3"/>
    <w:semiHidden/>
    <w:rsid w:val="000060F7"/>
    <w:rPr>
      <w:snapToGrid w:val="0"/>
      <w:sz w:val="28"/>
      <w:lang w:val="x-none" w:eastAsia="ru-RU"/>
    </w:rPr>
  </w:style>
  <w:style w:type="paragraph" w:styleId="af2">
    <w:name w:val="Revision"/>
    <w:hidden/>
    <w:uiPriority w:val="99"/>
    <w:semiHidden/>
    <w:rsid w:val="006742C0"/>
    <w:rPr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5345</Words>
  <Characters>3048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/>
  <LinksUpToDate>false</LinksUpToDate>
  <CharactersWithSpaces>8377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A.Starovir</dc:creator>
  <cp:lastModifiedBy>Natalia_Ostapiv</cp:lastModifiedBy>
  <cp:revision>2</cp:revision>
  <cp:lastPrinted>2020-03-28T21:35:00Z</cp:lastPrinted>
  <dcterms:created xsi:type="dcterms:W3CDTF">2025-09-18T07:14:00Z</dcterms:created>
  <dcterms:modified xsi:type="dcterms:W3CDTF">2025-09-18T07:14:00Z</dcterms:modified>
</cp:coreProperties>
</file>